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44" w:type="dxa"/>
        <w:tblInd w:w="-432" w:type="dxa"/>
        <w:tblBorders>
          <w:bottom w:val="single" w:sz="2" w:space="0" w:color="auto"/>
        </w:tblBorders>
        <w:tblLayout w:type="fixed"/>
        <w:tblLook w:val="0000" w:firstRow="0" w:lastRow="0" w:firstColumn="0" w:lastColumn="0" w:noHBand="0" w:noVBand="0"/>
      </w:tblPr>
      <w:tblGrid>
        <w:gridCol w:w="2340"/>
        <w:gridCol w:w="5048"/>
        <w:gridCol w:w="236"/>
        <w:gridCol w:w="720"/>
        <w:gridCol w:w="1800"/>
      </w:tblGrid>
      <w:tr w:rsidR="00AD10B0">
        <w:trPr>
          <w:cantSplit/>
          <w:trHeight w:val="1258"/>
        </w:trPr>
        <w:tc>
          <w:tcPr>
            <w:tcW w:w="10144" w:type="dxa"/>
            <w:gridSpan w:val="5"/>
            <w:vAlign w:val="center"/>
          </w:tcPr>
          <w:p w:rsidR="00AD10B0" w:rsidRDefault="00053B35">
            <w:pPr>
              <w:jc w:val="center"/>
              <w:rPr>
                <w:sz w:val="24"/>
                <w:szCs w:val="24"/>
              </w:rPr>
            </w:pPr>
            <w:r>
              <w:rPr>
                <w:noProof/>
                <w:sz w:val="24"/>
                <w:szCs w:val="24"/>
              </w:rPr>
              <w:drawing>
                <wp:inline distT="0" distB="0" distL="0" distR="0">
                  <wp:extent cx="51435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36000"/>
                          </a:blip>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AD10B0" w:rsidRDefault="00AD10B0">
            <w:pPr>
              <w:jc w:val="center"/>
              <w:rPr>
                <w:sz w:val="16"/>
              </w:rPr>
            </w:pPr>
          </w:p>
        </w:tc>
      </w:tr>
      <w:tr w:rsidR="00AD10B0">
        <w:trPr>
          <w:cantSplit/>
          <w:trHeight w:val="1083"/>
        </w:trPr>
        <w:tc>
          <w:tcPr>
            <w:tcW w:w="10144" w:type="dxa"/>
            <w:gridSpan w:val="5"/>
          </w:tcPr>
          <w:p w:rsidR="00AD10B0" w:rsidRPr="00AF7308" w:rsidRDefault="00AD10B0">
            <w:pPr>
              <w:pStyle w:val="1"/>
              <w:spacing w:line="312" w:lineRule="auto"/>
              <w:rPr>
                <w:sz w:val="22"/>
              </w:rPr>
            </w:pPr>
            <w:r w:rsidRPr="00AF7308">
              <w:rPr>
                <w:sz w:val="22"/>
              </w:rPr>
              <w:t xml:space="preserve">Финансовое управление администрации городского округа Жигулевск  </w:t>
            </w:r>
          </w:p>
          <w:p w:rsidR="00AD10B0" w:rsidRPr="00AF7308" w:rsidRDefault="00AD10B0">
            <w:pPr>
              <w:pStyle w:val="1"/>
              <w:spacing w:line="312" w:lineRule="auto"/>
              <w:rPr>
                <w:b w:val="0"/>
                <w:bCs w:val="0"/>
                <w:sz w:val="22"/>
              </w:rPr>
            </w:pPr>
            <w:r w:rsidRPr="00AF7308">
              <w:rPr>
                <w:sz w:val="22"/>
              </w:rPr>
              <w:t>Самарской области</w:t>
            </w:r>
          </w:p>
          <w:p w:rsidR="00AD10B0" w:rsidRPr="00AF7308" w:rsidRDefault="00AD10B0">
            <w:pPr>
              <w:pStyle w:val="1"/>
              <w:rPr>
                <w:b w:val="0"/>
                <w:bCs w:val="0"/>
                <w:sz w:val="16"/>
              </w:rPr>
            </w:pPr>
          </w:p>
          <w:p w:rsidR="00AD10B0" w:rsidRPr="00AF7308" w:rsidRDefault="000F6C6C">
            <w:pPr>
              <w:pStyle w:val="4"/>
            </w:pPr>
            <w:proofErr w:type="gramStart"/>
            <w:r w:rsidRPr="00AF7308">
              <w:t>П</w:t>
            </w:r>
            <w:proofErr w:type="gramEnd"/>
            <w:r w:rsidRPr="00AF7308">
              <w:t xml:space="preserve"> Р И К А З</w:t>
            </w:r>
          </w:p>
        </w:tc>
      </w:tr>
      <w:tr w:rsidR="00AD10B0">
        <w:trPr>
          <w:cantSplit/>
          <w:trHeight w:val="421"/>
        </w:trPr>
        <w:tc>
          <w:tcPr>
            <w:tcW w:w="2340" w:type="dxa"/>
            <w:tcBorders>
              <w:bottom w:val="single" w:sz="2" w:space="0" w:color="auto"/>
            </w:tcBorders>
            <w:vAlign w:val="bottom"/>
          </w:tcPr>
          <w:p w:rsidR="00AD10B0" w:rsidRPr="00E7137B" w:rsidRDefault="00F46758" w:rsidP="008765F4">
            <w:pPr>
              <w:ind w:left="-108" w:firstLine="108"/>
              <w:jc w:val="center"/>
              <w:rPr>
                <w:sz w:val="26"/>
              </w:rPr>
            </w:pPr>
            <w:r>
              <w:rPr>
                <w:szCs w:val="28"/>
              </w:rPr>
              <w:t>22</w:t>
            </w:r>
            <w:r w:rsidR="00156F74">
              <w:rPr>
                <w:szCs w:val="28"/>
              </w:rPr>
              <w:t>.</w:t>
            </w:r>
            <w:r w:rsidR="008765F4">
              <w:rPr>
                <w:szCs w:val="28"/>
              </w:rPr>
              <w:t>12</w:t>
            </w:r>
            <w:r w:rsidR="00250125" w:rsidRPr="00E7137B">
              <w:rPr>
                <w:szCs w:val="28"/>
              </w:rPr>
              <w:t>.20</w:t>
            </w:r>
            <w:r w:rsidR="008E388A">
              <w:rPr>
                <w:szCs w:val="28"/>
              </w:rPr>
              <w:t>20</w:t>
            </w:r>
            <w:r w:rsidR="00250125" w:rsidRPr="00E7137B">
              <w:rPr>
                <w:szCs w:val="28"/>
              </w:rPr>
              <w:t>г</w:t>
            </w:r>
            <w:r w:rsidR="00250125" w:rsidRPr="00E7137B">
              <w:rPr>
                <w:sz w:val="26"/>
              </w:rPr>
              <w:t>.</w:t>
            </w:r>
          </w:p>
        </w:tc>
        <w:tc>
          <w:tcPr>
            <w:tcW w:w="6004" w:type="dxa"/>
            <w:gridSpan w:val="3"/>
            <w:vAlign w:val="bottom"/>
          </w:tcPr>
          <w:p w:rsidR="00AD10B0" w:rsidRPr="00E7137B" w:rsidRDefault="00AD10B0">
            <w:pPr>
              <w:ind w:left="-108" w:firstLine="108"/>
              <w:jc w:val="right"/>
              <w:rPr>
                <w:rFonts w:ascii="Arial" w:hAnsi="Arial" w:cs="Arial"/>
                <w:b/>
                <w:bCs/>
              </w:rPr>
            </w:pPr>
          </w:p>
          <w:p w:rsidR="00AD10B0" w:rsidRPr="00E7137B" w:rsidRDefault="00AD10B0">
            <w:pPr>
              <w:ind w:left="-108" w:firstLine="108"/>
              <w:jc w:val="right"/>
              <w:rPr>
                <w:rFonts w:ascii="Arial" w:hAnsi="Arial" w:cs="Arial"/>
                <w:b/>
                <w:bCs/>
                <w:sz w:val="20"/>
              </w:rPr>
            </w:pPr>
            <w:r w:rsidRPr="00E7137B">
              <w:rPr>
                <w:rFonts w:ascii="Arial" w:hAnsi="Arial" w:cs="Arial"/>
                <w:b/>
                <w:bCs/>
                <w:sz w:val="20"/>
              </w:rPr>
              <w:t>№</w:t>
            </w:r>
          </w:p>
        </w:tc>
        <w:tc>
          <w:tcPr>
            <w:tcW w:w="1800" w:type="dxa"/>
            <w:tcBorders>
              <w:bottom w:val="single" w:sz="2" w:space="0" w:color="auto"/>
            </w:tcBorders>
            <w:vAlign w:val="bottom"/>
          </w:tcPr>
          <w:p w:rsidR="00AD10B0" w:rsidRPr="00E7137B" w:rsidRDefault="00F46758" w:rsidP="004A1E19">
            <w:pPr>
              <w:jc w:val="center"/>
              <w:rPr>
                <w:szCs w:val="28"/>
              </w:rPr>
            </w:pPr>
            <w:r>
              <w:rPr>
                <w:szCs w:val="28"/>
              </w:rPr>
              <w:t>66</w:t>
            </w:r>
          </w:p>
        </w:tc>
      </w:tr>
      <w:tr w:rsidR="00AD10B0">
        <w:trPr>
          <w:cantSplit/>
        </w:trPr>
        <w:tc>
          <w:tcPr>
            <w:tcW w:w="10144" w:type="dxa"/>
            <w:gridSpan w:val="5"/>
            <w:vAlign w:val="bottom"/>
          </w:tcPr>
          <w:p w:rsidR="00AD10B0" w:rsidRPr="00AF7308" w:rsidRDefault="00AD10B0">
            <w:pPr>
              <w:jc w:val="center"/>
              <w:rPr>
                <w:rFonts w:ascii="Arial" w:hAnsi="Arial" w:cs="Arial"/>
                <w:b/>
                <w:bCs/>
                <w:sz w:val="18"/>
              </w:rPr>
            </w:pPr>
          </w:p>
        </w:tc>
      </w:tr>
      <w:tr w:rsidR="00AD10B0">
        <w:trPr>
          <w:cantSplit/>
          <w:trHeight w:val="922"/>
        </w:trPr>
        <w:tc>
          <w:tcPr>
            <w:tcW w:w="7388" w:type="dxa"/>
            <w:gridSpan w:val="2"/>
            <w:tcBorders>
              <w:bottom w:val="nil"/>
            </w:tcBorders>
            <w:vAlign w:val="center"/>
          </w:tcPr>
          <w:p w:rsidR="004C68D7" w:rsidRDefault="004C68D7" w:rsidP="00250125">
            <w:pPr>
              <w:overflowPunct w:val="0"/>
              <w:autoSpaceDE w:val="0"/>
              <w:autoSpaceDN w:val="0"/>
              <w:adjustRightInd w:val="0"/>
              <w:rPr>
                <w:szCs w:val="28"/>
              </w:rPr>
            </w:pPr>
          </w:p>
          <w:p w:rsidR="000F6C6C" w:rsidRPr="00CA6E2B" w:rsidRDefault="0061626E" w:rsidP="008E388A">
            <w:pPr>
              <w:overflowPunct w:val="0"/>
              <w:autoSpaceDE w:val="0"/>
              <w:autoSpaceDN w:val="0"/>
              <w:adjustRightInd w:val="0"/>
            </w:pPr>
            <w:r>
              <w:rPr>
                <w:szCs w:val="28"/>
              </w:rPr>
              <w:t xml:space="preserve">«Об  утверждении структуры и перечня </w:t>
            </w:r>
            <w:proofErr w:type="gramStart"/>
            <w:r>
              <w:rPr>
                <w:szCs w:val="28"/>
              </w:rPr>
              <w:t>кодов целевых статей расходов бюджета городского округа</w:t>
            </w:r>
            <w:proofErr w:type="gramEnd"/>
            <w:r>
              <w:rPr>
                <w:szCs w:val="28"/>
              </w:rPr>
              <w:t xml:space="preserve"> Жигулевск»</w:t>
            </w:r>
          </w:p>
        </w:tc>
        <w:tc>
          <w:tcPr>
            <w:tcW w:w="236" w:type="dxa"/>
            <w:tcBorders>
              <w:bottom w:val="nil"/>
            </w:tcBorders>
            <w:vAlign w:val="center"/>
          </w:tcPr>
          <w:p w:rsidR="00AD10B0" w:rsidRDefault="00AD10B0">
            <w:pPr>
              <w:spacing w:line="360" w:lineRule="auto"/>
            </w:pPr>
          </w:p>
        </w:tc>
        <w:tc>
          <w:tcPr>
            <w:tcW w:w="2520" w:type="dxa"/>
            <w:gridSpan w:val="2"/>
            <w:tcBorders>
              <w:bottom w:val="nil"/>
            </w:tcBorders>
            <w:vAlign w:val="center"/>
          </w:tcPr>
          <w:p w:rsidR="00AD10B0" w:rsidRDefault="00AD10B0">
            <w:pPr>
              <w:spacing w:line="360" w:lineRule="auto"/>
            </w:pPr>
          </w:p>
        </w:tc>
      </w:tr>
    </w:tbl>
    <w:p w:rsidR="00114E7F" w:rsidRDefault="00114E7F" w:rsidP="00114E7F">
      <w:pPr>
        <w:rPr>
          <w:szCs w:val="28"/>
        </w:rPr>
      </w:pPr>
    </w:p>
    <w:p w:rsidR="00114E7F" w:rsidRDefault="00220BEA" w:rsidP="00D90271">
      <w:pPr>
        <w:ind w:left="-357" w:firstLine="539"/>
        <w:jc w:val="both"/>
        <w:rPr>
          <w:szCs w:val="28"/>
        </w:rPr>
      </w:pPr>
      <w:r>
        <w:rPr>
          <w:szCs w:val="28"/>
        </w:rPr>
        <w:t>В соответствии со статьей 21</w:t>
      </w:r>
      <w:r w:rsidR="00584BF8">
        <w:rPr>
          <w:szCs w:val="28"/>
        </w:rPr>
        <w:t xml:space="preserve"> Бюджетного кодекса Российской Федерации, </w:t>
      </w:r>
      <w:r w:rsidR="00062A4E">
        <w:rPr>
          <w:szCs w:val="28"/>
        </w:rPr>
        <w:t>приказом Министерства ф</w:t>
      </w:r>
      <w:r w:rsidR="00BF2FD1">
        <w:rPr>
          <w:szCs w:val="28"/>
        </w:rPr>
        <w:t>инансов РФ от 0</w:t>
      </w:r>
      <w:r w:rsidR="008E388A">
        <w:rPr>
          <w:szCs w:val="28"/>
        </w:rPr>
        <w:t>6</w:t>
      </w:r>
      <w:r w:rsidR="00BF2FD1">
        <w:rPr>
          <w:szCs w:val="28"/>
        </w:rPr>
        <w:t>.0</w:t>
      </w:r>
      <w:r w:rsidR="008E388A">
        <w:rPr>
          <w:szCs w:val="28"/>
        </w:rPr>
        <w:t>6</w:t>
      </w:r>
      <w:r w:rsidR="00BF2FD1">
        <w:rPr>
          <w:szCs w:val="28"/>
        </w:rPr>
        <w:t>.201</w:t>
      </w:r>
      <w:r w:rsidR="008E388A">
        <w:rPr>
          <w:szCs w:val="28"/>
        </w:rPr>
        <w:t>9</w:t>
      </w:r>
      <w:r w:rsidR="00BF2FD1">
        <w:rPr>
          <w:szCs w:val="28"/>
        </w:rPr>
        <w:t xml:space="preserve"> № </w:t>
      </w:r>
      <w:r w:rsidR="008E388A">
        <w:rPr>
          <w:szCs w:val="28"/>
        </w:rPr>
        <w:t>8</w:t>
      </w:r>
      <w:r w:rsidR="00BF2FD1">
        <w:rPr>
          <w:szCs w:val="28"/>
        </w:rPr>
        <w:t>5-н</w:t>
      </w:r>
      <w:r w:rsidR="008E388A">
        <w:rPr>
          <w:szCs w:val="28"/>
        </w:rPr>
        <w:t>,</w:t>
      </w:r>
      <w:r w:rsidR="00BF2FD1">
        <w:rPr>
          <w:szCs w:val="28"/>
        </w:rPr>
        <w:t xml:space="preserve"> </w:t>
      </w:r>
      <w:r w:rsidR="00062A4E">
        <w:rPr>
          <w:szCs w:val="28"/>
        </w:rPr>
        <w:t xml:space="preserve"> </w:t>
      </w:r>
      <w:r w:rsidR="00584BF8">
        <w:rPr>
          <w:szCs w:val="28"/>
        </w:rPr>
        <w:t>руководствуясь Положением о финансовом управлении администрации городского округа Жигулевск Самарской области, утвержденным решением Думы городского округа Жигулевск от 29 января 2009 года № 372,</w:t>
      </w:r>
    </w:p>
    <w:p w:rsidR="00114E7F" w:rsidRPr="00753573" w:rsidRDefault="00114E7F" w:rsidP="00D90271">
      <w:pPr>
        <w:ind w:firstLine="540"/>
        <w:jc w:val="both"/>
        <w:rPr>
          <w:sz w:val="10"/>
          <w:szCs w:val="10"/>
        </w:rPr>
      </w:pPr>
    </w:p>
    <w:p w:rsidR="00F07C3A" w:rsidRDefault="00F07C3A" w:rsidP="00D90271">
      <w:pPr>
        <w:ind w:firstLine="540"/>
        <w:jc w:val="both"/>
        <w:rPr>
          <w:szCs w:val="28"/>
        </w:rPr>
      </w:pPr>
      <w:r>
        <w:rPr>
          <w:szCs w:val="28"/>
        </w:rPr>
        <w:t>ПРИКАЗЫВАЮ:</w:t>
      </w:r>
    </w:p>
    <w:p w:rsidR="00E51BBE" w:rsidRDefault="00E51BBE" w:rsidP="00E51BBE">
      <w:pPr>
        <w:spacing w:line="276" w:lineRule="auto"/>
        <w:ind w:left="-360" w:firstLine="540"/>
        <w:jc w:val="both"/>
        <w:rPr>
          <w:szCs w:val="28"/>
        </w:rPr>
      </w:pPr>
      <w:r>
        <w:rPr>
          <w:szCs w:val="28"/>
        </w:rPr>
        <w:t xml:space="preserve"> </w:t>
      </w:r>
    </w:p>
    <w:p w:rsidR="0061626E" w:rsidRPr="00381276" w:rsidRDefault="0061626E" w:rsidP="0061626E">
      <w:pPr>
        <w:numPr>
          <w:ilvl w:val="0"/>
          <w:numId w:val="14"/>
        </w:numPr>
        <w:tabs>
          <w:tab w:val="clear" w:pos="720"/>
          <w:tab w:val="num" w:pos="0"/>
        </w:tabs>
        <w:ind w:left="-284" w:firstLine="710"/>
        <w:jc w:val="both"/>
        <w:rPr>
          <w:szCs w:val="28"/>
        </w:rPr>
      </w:pPr>
      <w:r w:rsidRPr="00381276">
        <w:rPr>
          <w:szCs w:val="28"/>
        </w:rPr>
        <w:t xml:space="preserve">Утвердить структуру </w:t>
      </w:r>
      <w:proofErr w:type="gramStart"/>
      <w:r w:rsidRPr="00381276">
        <w:rPr>
          <w:szCs w:val="28"/>
        </w:rPr>
        <w:t>кодов целевых статей расходов бюджета городского округа</w:t>
      </w:r>
      <w:proofErr w:type="gramEnd"/>
      <w:r w:rsidRPr="00381276">
        <w:rPr>
          <w:szCs w:val="28"/>
        </w:rPr>
        <w:t xml:space="preserve"> Жигулевск согласно приложению № 1.</w:t>
      </w:r>
    </w:p>
    <w:p w:rsidR="0061626E" w:rsidRPr="00381276" w:rsidRDefault="0061626E" w:rsidP="0061626E">
      <w:pPr>
        <w:numPr>
          <w:ilvl w:val="0"/>
          <w:numId w:val="14"/>
        </w:numPr>
        <w:tabs>
          <w:tab w:val="clear" w:pos="720"/>
          <w:tab w:val="num" w:pos="0"/>
        </w:tabs>
        <w:ind w:left="-284" w:firstLine="710"/>
        <w:jc w:val="both"/>
        <w:rPr>
          <w:szCs w:val="28"/>
        </w:rPr>
      </w:pPr>
      <w:r w:rsidRPr="00381276">
        <w:rPr>
          <w:szCs w:val="28"/>
        </w:rPr>
        <w:t xml:space="preserve">Утвердить прилагаемый перечень </w:t>
      </w:r>
      <w:proofErr w:type="gramStart"/>
      <w:r w:rsidRPr="00381276">
        <w:rPr>
          <w:szCs w:val="28"/>
        </w:rPr>
        <w:t>кодов целевых статей расходов бюджета городского округа</w:t>
      </w:r>
      <w:proofErr w:type="gramEnd"/>
      <w:r w:rsidRPr="00381276">
        <w:rPr>
          <w:szCs w:val="28"/>
        </w:rPr>
        <w:t xml:space="preserve"> Жигулевск согласно приложению № 2.</w:t>
      </w:r>
    </w:p>
    <w:p w:rsidR="0061626E" w:rsidRPr="00381276" w:rsidRDefault="0061626E" w:rsidP="0061626E">
      <w:pPr>
        <w:numPr>
          <w:ilvl w:val="0"/>
          <w:numId w:val="14"/>
        </w:numPr>
        <w:tabs>
          <w:tab w:val="clear" w:pos="720"/>
          <w:tab w:val="num" w:pos="0"/>
        </w:tabs>
        <w:ind w:left="-284" w:firstLine="710"/>
        <w:jc w:val="both"/>
        <w:rPr>
          <w:szCs w:val="28"/>
        </w:rPr>
      </w:pPr>
      <w:r w:rsidRPr="00381276">
        <w:rPr>
          <w:szCs w:val="28"/>
        </w:rPr>
        <w:t>Установить, что пункты 1 и 2 настоящего приказа, применяются к правоотношениям, возникшим при составлении и исполнении бюджета городского округа Жигулевск, начиная с бюджета на 202</w:t>
      </w:r>
      <w:r>
        <w:rPr>
          <w:szCs w:val="28"/>
        </w:rPr>
        <w:t>1</w:t>
      </w:r>
      <w:r w:rsidRPr="00381276">
        <w:rPr>
          <w:szCs w:val="28"/>
        </w:rPr>
        <w:t xml:space="preserve"> год и на плановый период 202</w:t>
      </w:r>
      <w:r>
        <w:rPr>
          <w:szCs w:val="28"/>
        </w:rPr>
        <w:t>2</w:t>
      </w:r>
      <w:r w:rsidRPr="00381276">
        <w:rPr>
          <w:szCs w:val="28"/>
        </w:rPr>
        <w:t xml:space="preserve"> и 202</w:t>
      </w:r>
      <w:r>
        <w:rPr>
          <w:szCs w:val="28"/>
        </w:rPr>
        <w:t>3</w:t>
      </w:r>
      <w:r w:rsidRPr="00381276">
        <w:rPr>
          <w:szCs w:val="28"/>
        </w:rPr>
        <w:t xml:space="preserve"> годов.</w:t>
      </w:r>
    </w:p>
    <w:p w:rsidR="0061626E" w:rsidRPr="00381276" w:rsidRDefault="0061626E" w:rsidP="0061626E">
      <w:pPr>
        <w:numPr>
          <w:ilvl w:val="0"/>
          <w:numId w:val="14"/>
        </w:numPr>
        <w:tabs>
          <w:tab w:val="clear" w:pos="720"/>
          <w:tab w:val="num" w:pos="0"/>
        </w:tabs>
        <w:ind w:left="-284" w:firstLine="710"/>
        <w:jc w:val="both"/>
        <w:rPr>
          <w:szCs w:val="28"/>
        </w:rPr>
      </w:pPr>
      <w:r w:rsidRPr="00381276">
        <w:rPr>
          <w:szCs w:val="28"/>
        </w:rPr>
        <w:t xml:space="preserve">Приказ финансового управления от </w:t>
      </w:r>
      <w:r>
        <w:rPr>
          <w:szCs w:val="28"/>
        </w:rPr>
        <w:t>11</w:t>
      </w:r>
      <w:r w:rsidRPr="00381276">
        <w:rPr>
          <w:szCs w:val="28"/>
        </w:rPr>
        <w:t>.12.20</w:t>
      </w:r>
      <w:r>
        <w:rPr>
          <w:szCs w:val="28"/>
        </w:rPr>
        <w:t>19</w:t>
      </w:r>
      <w:r w:rsidRPr="00381276">
        <w:rPr>
          <w:szCs w:val="28"/>
        </w:rPr>
        <w:t xml:space="preserve"> №</w:t>
      </w:r>
      <w:r>
        <w:rPr>
          <w:szCs w:val="28"/>
        </w:rPr>
        <w:t xml:space="preserve"> 66</w:t>
      </w:r>
      <w:r w:rsidRPr="00381276">
        <w:rPr>
          <w:szCs w:val="28"/>
        </w:rPr>
        <w:t xml:space="preserve"> «Об  утверждении структуры и перечня </w:t>
      </w:r>
      <w:proofErr w:type="gramStart"/>
      <w:r w:rsidRPr="00381276">
        <w:rPr>
          <w:szCs w:val="28"/>
        </w:rPr>
        <w:t>кодов целевых статей расходов бюджета городского округа</w:t>
      </w:r>
      <w:proofErr w:type="gramEnd"/>
      <w:r w:rsidRPr="00381276">
        <w:rPr>
          <w:szCs w:val="28"/>
        </w:rPr>
        <w:t xml:space="preserve"> Жигулевск» считать утратившим силу с 01.01.202</w:t>
      </w:r>
      <w:r>
        <w:rPr>
          <w:szCs w:val="28"/>
        </w:rPr>
        <w:t>1</w:t>
      </w:r>
      <w:r w:rsidRPr="00381276">
        <w:rPr>
          <w:szCs w:val="28"/>
        </w:rPr>
        <w:t>.</w:t>
      </w:r>
    </w:p>
    <w:p w:rsidR="0061626E" w:rsidRPr="00381276" w:rsidRDefault="0061626E" w:rsidP="0061626E">
      <w:pPr>
        <w:numPr>
          <w:ilvl w:val="0"/>
          <w:numId w:val="14"/>
        </w:numPr>
        <w:tabs>
          <w:tab w:val="clear" w:pos="720"/>
          <w:tab w:val="num" w:pos="0"/>
        </w:tabs>
        <w:ind w:left="-284" w:firstLine="710"/>
        <w:jc w:val="both"/>
        <w:rPr>
          <w:color w:val="auto"/>
          <w:szCs w:val="28"/>
        </w:rPr>
      </w:pPr>
      <w:r w:rsidRPr="00381276">
        <w:rPr>
          <w:color w:val="auto"/>
          <w:szCs w:val="28"/>
        </w:rPr>
        <w:t xml:space="preserve">Контроль за исполнением настоящего приказа возложить на начальника </w:t>
      </w:r>
      <w:proofErr w:type="gramStart"/>
      <w:r w:rsidRPr="00381276">
        <w:rPr>
          <w:color w:val="auto"/>
          <w:szCs w:val="28"/>
        </w:rPr>
        <w:t>отдела планирования бюджета финансового управления администрации городского округа</w:t>
      </w:r>
      <w:proofErr w:type="gramEnd"/>
      <w:r w:rsidRPr="00381276">
        <w:rPr>
          <w:color w:val="auto"/>
          <w:szCs w:val="28"/>
        </w:rPr>
        <w:t xml:space="preserve"> Жигулевск – </w:t>
      </w:r>
      <w:r>
        <w:rPr>
          <w:color w:val="auto"/>
          <w:szCs w:val="28"/>
        </w:rPr>
        <w:t>Пухленко Ю.В.</w:t>
      </w:r>
    </w:p>
    <w:p w:rsidR="00C721CE" w:rsidRDefault="0061626E" w:rsidP="0061626E">
      <w:pPr>
        <w:ind w:left="-426" w:firstLine="852"/>
        <w:jc w:val="both"/>
      </w:pPr>
      <w:r w:rsidRPr="00381276">
        <w:rPr>
          <w:szCs w:val="28"/>
        </w:rPr>
        <w:t>6. Настоящий приказ вступает в силу с момента подписания.</w:t>
      </w:r>
      <w:r w:rsidR="00EF7BFD">
        <w:t xml:space="preserve">      </w:t>
      </w:r>
    </w:p>
    <w:p w:rsidR="003B4528" w:rsidRDefault="00C721CE" w:rsidP="00810114">
      <w:pPr>
        <w:ind w:left="-426" w:hanging="360"/>
        <w:jc w:val="both"/>
      </w:pPr>
      <w:r>
        <w:t xml:space="preserve">      </w:t>
      </w:r>
    </w:p>
    <w:p w:rsidR="003B4528" w:rsidRDefault="003B4528" w:rsidP="00810114">
      <w:pPr>
        <w:ind w:left="-426" w:hanging="360"/>
        <w:jc w:val="both"/>
      </w:pPr>
    </w:p>
    <w:p w:rsidR="0069000A" w:rsidRDefault="003B4528" w:rsidP="00810114">
      <w:pPr>
        <w:ind w:left="-426" w:hanging="360"/>
        <w:jc w:val="both"/>
      </w:pPr>
      <w:r>
        <w:t xml:space="preserve">    </w:t>
      </w:r>
      <w:r w:rsidR="006E0132">
        <w:t>Руководитель</w:t>
      </w:r>
      <w:r w:rsidR="0069000A" w:rsidRPr="00AF7308">
        <w:t xml:space="preserve">       </w:t>
      </w:r>
      <w:r w:rsidR="00877DAB">
        <w:t xml:space="preserve">                                         </w:t>
      </w:r>
      <w:r w:rsidR="0069000A" w:rsidRPr="00AF7308">
        <w:t xml:space="preserve">    </w:t>
      </w:r>
      <w:r w:rsidR="00810114">
        <w:t xml:space="preserve">        </w:t>
      </w:r>
      <w:r w:rsidR="0069000A" w:rsidRPr="00AF7308">
        <w:t xml:space="preserve">   </w:t>
      </w:r>
      <w:r w:rsidR="00647E55">
        <w:t xml:space="preserve">    </w:t>
      </w:r>
      <w:r w:rsidR="006E0132">
        <w:t xml:space="preserve">             </w:t>
      </w:r>
      <w:r w:rsidR="00647E55">
        <w:t xml:space="preserve">      </w:t>
      </w:r>
      <w:r w:rsidR="0069000A" w:rsidRPr="00AF7308">
        <w:t xml:space="preserve"> </w:t>
      </w:r>
      <w:proofErr w:type="spellStart"/>
      <w:r w:rsidR="006E0132">
        <w:t>О.Г.Казакова</w:t>
      </w:r>
      <w:proofErr w:type="spellEnd"/>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p w:rsidR="008027CD" w:rsidRDefault="008027CD" w:rsidP="00810114">
      <w:pPr>
        <w:ind w:left="-426" w:hanging="360"/>
        <w:jc w:val="both"/>
      </w:pPr>
    </w:p>
    <w:tbl>
      <w:tblPr>
        <w:tblW w:w="9601" w:type="dxa"/>
        <w:tblLook w:val="04A0" w:firstRow="1" w:lastRow="0" w:firstColumn="1" w:lastColumn="0" w:noHBand="0" w:noVBand="1"/>
      </w:tblPr>
      <w:tblGrid>
        <w:gridCol w:w="5070"/>
        <w:gridCol w:w="4531"/>
      </w:tblGrid>
      <w:tr w:rsidR="008027CD" w:rsidRPr="00381276" w:rsidTr="00F60882">
        <w:tc>
          <w:tcPr>
            <w:tcW w:w="5070" w:type="dxa"/>
          </w:tcPr>
          <w:p w:rsidR="008027CD" w:rsidRPr="00381276" w:rsidRDefault="008027CD" w:rsidP="00F60882">
            <w:pPr>
              <w:jc w:val="right"/>
              <w:rPr>
                <w:szCs w:val="28"/>
              </w:rPr>
            </w:pPr>
          </w:p>
        </w:tc>
        <w:tc>
          <w:tcPr>
            <w:tcW w:w="4531" w:type="dxa"/>
          </w:tcPr>
          <w:p w:rsidR="008027CD" w:rsidRPr="00381276" w:rsidRDefault="008027CD" w:rsidP="00F60882">
            <w:r w:rsidRPr="00381276">
              <w:t xml:space="preserve">Приложение № 1 </w:t>
            </w:r>
          </w:p>
          <w:p w:rsidR="008027CD" w:rsidRPr="00381276" w:rsidRDefault="008027CD" w:rsidP="008027CD">
            <w:pPr>
              <w:rPr>
                <w:szCs w:val="28"/>
              </w:rPr>
            </w:pPr>
            <w:r w:rsidRPr="00381276">
              <w:t xml:space="preserve">к приказу финансового управления от </w:t>
            </w:r>
            <w:r>
              <w:t>22</w:t>
            </w:r>
            <w:r w:rsidRPr="00381276">
              <w:t>.12.20</w:t>
            </w:r>
            <w:r>
              <w:t>20</w:t>
            </w:r>
            <w:bookmarkStart w:id="0" w:name="_GoBack"/>
            <w:bookmarkEnd w:id="0"/>
            <w:r w:rsidRPr="00381276">
              <w:t xml:space="preserve"> № </w:t>
            </w:r>
            <w:r>
              <w:t>66</w:t>
            </w:r>
          </w:p>
        </w:tc>
      </w:tr>
    </w:tbl>
    <w:p w:rsidR="008027CD" w:rsidRPr="00E81529" w:rsidRDefault="008027CD" w:rsidP="008027CD">
      <w:pPr>
        <w:jc w:val="right"/>
        <w:rPr>
          <w:szCs w:val="28"/>
          <w:highlight w:val="yellow"/>
        </w:rPr>
      </w:pPr>
    </w:p>
    <w:p w:rsidR="008027CD" w:rsidRPr="00E81529" w:rsidRDefault="008027CD" w:rsidP="008027CD">
      <w:pPr>
        <w:jc w:val="right"/>
        <w:rPr>
          <w:szCs w:val="28"/>
          <w:highlight w:val="yellow"/>
        </w:rPr>
      </w:pPr>
    </w:p>
    <w:p w:rsidR="008027CD" w:rsidRPr="00E81529" w:rsidRDefault="008027CD" w:rsidP="008027CD">
      <w:pPr>
        <w:jc w:val="right"/>
        <w:rPr>
          <w:szCs w:val="28"/>
          <w:highlight w:val="yellow"/>
        </w:rPr>
      </w:pPr>
    </w:p>
    <w:p w:rsidR="008027CD" w:rsidRPr="00E81529" w:rsidRDefault="008027CD" w:rsidP="008027CD">
      <w:pPr>
        <w:jc w:val="right"/>
        <w:rPr>
          <w:szCs w:val="28"/>
          <w:highlight w:val="yellow"/>
        </w:rPr>
      </w:pPr>
    </w:p>
    <w:p w:rsidR="008027CD" w:rsidRPr="00E81529" w:rsidRDefault="008027CD" w:rsidP="008027CD">
      <w:pPr>
        <w:jc w:val="right"/>
        <w:rPr>
          <w:szCs w:val="28"/>
          <w:highlight w:val="yellow"/>
        </w:rPr>
      </w:pPr>
    </w:p>
    <w:p w:rsidR="008027CD" w:rsidRPr="00381276" w:rsidRDefault="008027CD" w:rsidP="008027CD">
      <w:pPr>
        <w:jc w:val="center"/>
        <w:rPr>
          <w:szCs w:val="28"/>
        </w:rPr>
      </w:pPr>
      <w:r w:rsidRPr="00381276">
        <w:rPr>
          <w:szCs w:val="28"/>
        </w:rPr>
        <w:t xml:space="preserve">1. Структура кодов целевых статей расходов </w:t>
      </w:r>
    </w:p>
    <w:p w:rsidR="008027CD" w:rsidRPr="00381276" w:rsidRDefault="008027CD" w:rsidP="008027CD">
      <w:pPr>
        <w:jc w:val="center"/>
        <w:rPr>
          <w:szCs w:val="28"/>
        </w:rPr>
      </w:pPr>
      <w:r w:rsidRPr="00381276">
        <w:rPr>
          <w:szCs w:val="28"/>
        </w:rPr>
        <w:t>бюджета городского округа Жигулевск</w:t>
      </w:r>
    </w:p>
    <w:p w:rsidR="008027CD" w:rsidRPr="00381276" w:rsidRDefault="008027CD" w:rsidP="008027CD">
      <w:pPr>
        <w:jc w:val="center"/>
        <w:rPr>
          <w:szCs w:val="28"/>
        </w:rPr>
      </w:pPr>
    </w:p>
    <w:p w:rsidR="008027CD" w:rsidRPr="00381276" w:rsidRDefault="008027CD" w:rsidP="008027CD">
      <w:pPr>
        <w:numPr>
          <w:ilvl w:val="0"/>
          <w:numId w:val="15"/>
        </w:numPr>
        <w:tabs>
          <w:tab w:val="clear" w:pos="1440"/>
        </w:tabs>
        <w:autoSpaceDE w:val="0"/>
        <w:autoSpaceDN w:val="0"/>
        <w:adjustRightInd w:val="0"/>
        <w:ind w:left="0" w:firstLine="720"/>
        <w:jc w:val="both"/>
        <w:outlineLvl w:val="4"/>
        <w:rPr>
          <w:snapToGrid w:val="0"/>
          <w:color w:val="auto"/>
          <w:szCs w:val="28"/>
        </w:rPr>
      </w:pPr>
      <w:proofErr w:type="gramStart"/>
      <w:r w:rsidRPr="00381276">
        <w:rPr>
          <w:snapToGrid w:val="0"/>
          <w:color w:val="auto"/>
          <w:szCs w:val="28"/>
        </w:rPr>
        <w:t>Целевые статьи расходов</w:t>
      </w:r>
      <w:r w:rsidRPr="00381276">
        <w:rPr>
          <w:snapToGrid w:val="0"/>
          <w:color w:val="auto"/>
        </w:rPr>
        <w:t xml:space="preserve"> местного </w:t>
      </w:r>
      <w:r w:rsidRPr="00381276">
        <w:rPr>
          <w:snapToGrid w:val="0"/>
          <w:color w:val="auto"/>
          <w:szCs w:val="28"/>
        </w:rPr>
        <w:t>бюджета обеспечивают привязку бюджетных ассигнований</w:t>
      </w:r>
      <w:r w:rsidRPr="00381276">
        <w:rPr>
          <w:snapToGrid w:val="0"/>
          <w:color w:val="auto"/>
        </w:rPr>
        <w:t xml:space="preserve"> </w:t>
      </w:r>
      <w:r w:rsidRPr="00381276">
        <w:rPr>
          <w:snapToGrid w:val="0"/>
          <w:color w:val="auto"/>
          <w:szCs w:val="28"/>
        </w:rPr>
        <w:t>к</w:t>
      </w:r>
      <w:r w:rsidRPr="00381276">
        <w:rPr>
          <w:snapToGrid w:val="0"/>
          <w:color w:val="auto"/>
        </w:rPr>
        <w:t xml:space="preserve"> </w:t>
      </w:r>
      <w:r w:rsidRPr="00381276">
        <w:rPr>
          <w:snapToGrid w:val="0"/>
          <w:color w:val="auto"/>
          <w:szCs w:val="28"/>
        </w:rPr>
        <w:t>муниципальным программам городского округа Жигулевск (далее – муниципальным программам)</w:t>
      </w:r>
      <w:r w:rsidRPr="00381276">
        <w:rPr>
          <w:snapToGrid w:val="0"/>
          <w:color w:val="auto"/>
        </w:rPr>
        <w:t xml:space="preserve">, </w:t>
      </w:r>
      <w:r w:rsidRPr="00381276">
        <w:rPr>
          <w:snapToGrid w:val="0"/>
          <w:color w:val="auto"/>
          <w:szCs w:val="28"/>
        </w:rPr>
        <w:t>их подпрограммам, мероприятиям муниципальных программ, и (или) непрограммным направлениям деятельности (функциям)</w:t>
      </w:r>
      <w:r w:rsidRPr="00381276">
        <w:rPr>
          <w:snapToGrid w:val="0"/>
          <w:color w:val="auto"/>
        </w:rPr>
        <w:t xml:space="preserve"> </w:t>
      </w:r>
      <w:r w:rsidRPr="00381276">
        <w:rPr>
          <w:snapToGrid w:val="0"/>
          <w:color w:val="auto"/>
          <w:szCs w:val="28"/>
        </w:rPr>
        <w:t>органов местного самоуправления, указанных в ведомственной структуре расходов бюджета городского округа Жигулевск,</w:t>
      </w:r>
      <w:r w:rsidRPr="00381276">
        <w:rPr>
          <w:snapToGrid w:val="0"/>
          <w:color w:val="auto"/>
        </w:rPr>
        <w:t xml:space="preserve"> </w:t>
      </w:r>
      <w:r w:rsidRPr="00381276">
        <w:rPr>
          <w:snapToGrid w:val="0"/>
          <w:color w:val="auto"/>
          <w:szCs w:val="28"/>
        </w:rPr>
        <w:t>и (или) к расходным обязательствам, подлежащим исполнению</w:t>
      </w:r>
      <w:r w:rsidRPr="00381276">
        <w:rPr>
          <w:snapToGrid w:val="0"/>
          <w:color w:val="auto"/>
        </w:rPr>
        <w:t xml:space="preserve"> </w:t>
      </w:r>
      <w:r w:rsidRPr="00381276">
        <w:rPr>
          <w:snapToGrid w:val="0"/>
          <w:color w:val="auto"/>
          <w:szCs w:val="28"/>
        </w:rPr>
        <w:t>за счет средств</w:t>
      </w:r>
      <w:r w:rsidRPr="00381276">
        <w:rPr>
          <w:snapToGrid w:val="0"/>
          <w:color w:val="auto"/>
        </w:rPr>
        <w:t xml:space="preserve"> местного </w:t>
      </w:r>
      <w:r w:rsidRPr="00381276">
        <w:rPr>
          <w:snapToGrid w:val="0"/>
          <w:color w:val="auto"/>
          <w:szCs w:val="28"/>
        </w:rPr>
        <w:t>бюджета.</w:t>
      </w:r>
      <w:r w:rsidRPr="00381276">
        <w:rPr>
          <w:snapToGrid w:val="0"/>
          <w:color w:val="auto"/>
        </w:rPr>
        <w:t xml:space="preserve"> </w:t>
      </w:r>
      <w:proofErr w:type="gramEnd"/>
    </w:p>
    <w:p w:rsidR="008027CD" w:rsidRPr="00381276" w:rsidRDefault="008027CD" w:rsidP="008027CD">
      <w:pPr>
        <w:numPr>
          <w:ilvl w:val="0"/>
          <w:numId w:val="15"/>
        </w:numPr>
        <w:tabs>
          <w:tab w:val="clear" w:pos="1440"/>
        </w:tabs>
        <w:autoSpaceDE w:val="0"/>
        <w:autoSpaceDN w:val="0"/>
        <w:adjustRightInd w:val="0"/>
        <w:ind w:left="0" w:firstLine="720"/>
        <w:jc w:val="both"/>
        <w:outlineLvl w:val="4"/>
        <w:rPr>
          <w:snapToGrid w:val="0"/>
          <w:color w:val="auto"/>
          <w:szCs w:val="28"/>
        </w:rPr>
      </w:pPr>
      <w:r w:rsidRPr="00381276">
        <w:rPr>
          <w:snapToGrid w:val="0"/>
          <w:color w:val="auto"/>
          <w:szCs w:val="28"/>
        </w:rPr>
        <w:t>Код целевой статьи расходов местного бюджета состоит из 10 знаков и составляет 8-17 разряды двадцатизначного кода бюджетной классификации расходов и включает следующие составные части (таблица № 1):</w:t>
      </w:r>
    </w:p>
    <w:p w:rsidR="008027CD" w:rsidRPr="00381276" w:rsidRDefault="008027CD" w:rsidP="008027CD">
      <w:pPr>
        <w:ind w:firstLine="708"/>
        <w:contextualSpacing/>
        <w:jc w:val="both"/>
        <w:rPr>
          <w:snapToGrid w:val="0"/>
          <w:color w:val="auto"/>
        </w:rPr>
      </w:pPr>
      <w:r w:rsidRPr="00381276">
        <w:rPr>
          <w:snapToGrid w:val="0"/>
          <w:color w:val="auto"/>
          <w:szCs w:val="28"/>
        </w:rPr>
        <w:t>код программного (непрограммного) направления расходов (8–9 разряды) предназначен для кодирования</w:t>
      </w:r>
      <w:r w:rsidRPr="00381276">
        <w:rPr>
          <w:snapToGrid w:val="0"/>
          <w:color w:val="auto"/>
        </w:rPr>
        <w:t xml:space="preserve"> </w:t>
      </w:r>
      <w:r w:rsidRPr="00381276">
        <w:rPr>
          <w:snapToGrid w:val="0"/>
          <w:color w:val="auto"/>
          <w:szCs w:val="28"/>
        </w:rPr>
        <w:t>муниципальных программ</w:t>
      </w:r>
      <w:r w:rsidRPr="00381276">
        <w:rPr>
          <w:snapToGrid w:val="0"/>
          <w:color w:val="auto"/>
        </w:rPr>
        <w:t xml:space="preserve">, </w:t>
      </w:r>
      <w:r w:rsidRPr="00381276">
        <w:rPr>
          <w:snapToGrid w:val="0"/>
          <w:color w:val="auto"/>
          <w:szCs w:val="28"/>
        </w:rPr>
        <w:t>непрограммных направлений деятельности</w:t>
      </w:r>
      <w:r w:rsidRPr="00381276">
        <w:rPr>
          <w:snapToGrid w:val="0"/>
          <w:color w:val="auto"/>
        </w:rPr>
        <w:t xml:space="preserve"> </w:t>
      </w:r>
      <w:r w:rsidRPr="00381276">
        <w:rPr>
          <w:snapToGrid w:val="0"/>
          <w:color w:val="auto"/>
          <w:szCs w:val="28"/>
        </w:rPr>
        <w:t>(функций)</w:t>
      </w:r>
      <w:r w:rsidRPr="00381276">
        <w:rPr>
          <w:snapToGrid w:val="0"/>
          <w:color w:val="auto"/>
        </w:rPr>
        <w:t xml:space="preserve"> </w:t>
      </w:r>
      <w:r w:rsidRPr="00381276">
        <w:rPr>
          <w:snapToGrid w:val="0"/>
          <w:color w:val="auto"/>
          <w:szCs w:val="28"/>
        </w:rPr>
        <w:t>органов местного самоуправления</w:t>
      </w:r>
      <w:r w:rsidRPr="00381276">
        <w:rPr>
          <w:snapToGrid w:val="0"/>
          <w:color w:val="auto"/>
        </w:rPr>
        <w:t xml:space="preserve">, </w:t>
      </w:r>
      <w:r w:rsidRPr="00381276">
        <w:rPr>
          <w:snapToGrid w:val="0"/>
          <w:color w:val="auto"/>
          <w:szCs w:val="28"/>
        </w:rPr>
        <w:t>указанных в ведомственной структуре расходов бюджета городского округа</w:t>
      </w:r>
      <w:r w:rsidRPr="00381276">
        <w:rPr>
          <w:snapToGrid w:val="0"/>
          <w:color w:val="auto"/>
        </w:rPr>
        <w:t>;</w:t>
      </w:r>
    </w:p>
    <w:p w:rsidR="008027CD" w:rsidRPr="00381276" w:rsidRDefault="008027CD" w:rsidP="008027CD">
      <w:pPr>
        <w:ind w:firstLine="708"/>
        <w:contextualSpacing/>
        <w:jc w:val="both"/>
        <w:rPr>
          <w:snapToGrid w:val="0"/>
          <w:color w:val="auto"/>
        </w:rPr>
      </w:pPr>
      <w:r w:rsidRPr="00381276">
        <w:rPr>
          <w:snapToGrid w:val="0"/>
          <w:color w:val="auto"/>
          <w:szCs w:val="28"/>
        </w:rPr>
        <w:t>код подпрограммы (мероприятия программы, непрограммного направления) (10 разряд</w:t>
      </w:r>
      <w:r w:rsidRPr="00381276">
        <w:rPr>
          <w:snapToGrid w:val="0"/>
          <w:color w:val="auto"/>
        </w:rPr>
        <w:t xml:space="preserve">), </w:t>
      </w:r>
      <w:r w:rsidRPr="00381276">
        <w:rPr>
          <w:snapToGrid w:val="0"/>
          <w:color w:val="auto"/>
          <w:szCs w:val="28"/>
        </w:rPr>
        <w:t xml:space="preserve">предназначен для: кодирования подпрограмм (обособленных мероприятий) </w:t>
      </w:r>
      <w:r w:rsidRPr="00381276">
        <w:rPr>
          <w:color w:val="auto"/>
          <w:szCs w:val="28"/>
        </w:rPr>
        <w:t>муниципальных программ</w:t>
      </w:r>
      <w:r w:rsidRPr="00381276">
        <w:rPr>
          <w:color w:val="auto"/>
        </w:rPr>
        <w:t xml:space="preserve">, </w:t>
      </w:r>
      <w:r w:rsidRPr="00381276">
        <w:rPr>
          <w:color w:val="auto"/>
          <w:szCs w:val="28"/>
        </w:rPr>
        <w:t>учреждений, реализующих мероприятия муниципальных программ,</w:t>
      </w:r>
      <w:r w:rsidRPr="00381276">
        <w:rPr>
          <w:color w:val="auto"/>
        </w:rPr>
        <w:t xml:space="preserve"> </w:t>
      </w:r>
      <w:r w:rsidRPr="00381276">
        <w:rPr>
          <w:color w:val="auto"/>
          <w:szCs w:val="28"/>
        </w:rPr>
        <w:t>а также обособленных мероприятий в рамках непрограммных направлений деятельности органов местного самоуправления</w:t>
      </w:r>
      <w:r w:rsidRPr="00381276">
        <w:rPr>
          <w:color w:val="auto"/>
        </w:rPr>
        <w:t xml:space="preserve">; </w:t>
      </w:r>
      <w:r w:rsidRPr="00381276">
        <w:rPr>
          <w:color w:val="auto"/>
          <w:szCs w:val="28"/>
        </w:rPr>
        <w:t xml:space="preserve"> </w:t>
      </w:r>
    </w:p>
    <w:p w:rsidR="008027CD" w:rsidRPr="00381276" w:rsidRDefault="008027CD" w:rsidP="008027CD">
      <w:pPr>
        <w:ind w:firstLine="720"/>
        <w:contextualSpacing/>
        <w:jc w:val="both"/>
        <w:rPr>
          <w:snapToGrid w:val="0"/>
          <w:color w:val="auto"/>
          <w:szCs w:val="28"/>
        </w:rPr>
      </w:pPr>
      <w:r w:rsidRPr="00381276">
        <w:rPr>
          <w:snapToGrid w:val="0"/>
          <w:color w:val="auto"/>
          <w:szCs w:val="28"/>
        </w:rPr>
        <w:t xml:space="preserve">код основного мероприятия (11-12 разряды) предназначен для кодирования основных мероприятий подпрограмм </w:t>
      </w:r>
      <w:r w:rsidRPr="00381276">
        <w:rPr>
          <w:color w:val="auto"/>
          <w:szCs w:val="28"/>
        </w:rPr>
        <w:t>муниципальных программ</w:t>
      </w:r>
      <w:r w:rsidRPr="00381276">
        <w:rPr>
          <w:snapToGrid w:val="0"/>
          <w:color w:val="auto"/>
          <w:szCs w:val="28"/>
        </w:rPr>
        <w:t>;</w:t>
      </w:r>
    </w:p>
    <w:p w:rsidR="008027CD" w:rsidRPr="00381276" w:rsidRDefault="008027CD" w:rsidP="008027CD">
      <w:pPr>
        <w:ind w:firstLine="720"/>
        <w:contextualSpacing/>
        <w:jc w:val="both"/>
        <w:rPr>
          <w:snapToGrid w:val="0"/>
          <w:color w:val="auto"/>
          <w:szCs w:val="28"/>
        </w:rPr>
      </w:pPr>
      <w:r w:rsidRPr="00381276">
        <w:rPr>
          <w:snapToGrid w:val="0"/>
          <w:color w:val="auto"/>
          <w:szCs w:val="28"/>
        </w:rPr>
        <w:t>код направления расходов (13-17 разряды) предназначен для кодирования направлений расходования средств, конкретизирующих (при необходимости) отдельные мероприятия.</w:t>
      </w:r>
    </w:p>
    <w:p w:rsidR="008027CD" w:rsidRPr="00381276" w:rsidRDefault="008027CD" w:rsidP="008027CD">
      <w:pPr>
        <w:ind w:firstLine="7655"/>
        <w:jc w:val="right"/>
        <w:rPr>
          <w:snapToGrid w:val="0"/>
          <w:color w:val="auto"/>
        </w:rPr>
      </w:pPr>
      <w:r w:rsidRPr="00381276">
        <w:rPr>
          <w:snapToGrid w:val="0"/>
          <w:color w:val="auto"/>
        </w:rPr>
        <w:t>Таблица № 1</w:t>
      </w:r>
    </w:p>
    <w:p w:rsidR="008027CD" w:rsidRPr="00381276" w:rsidRDefault="008027CD" w:rsidP="008027CD">
      <w:pPr>
        <w:ind w:firstLine="7655"/>
        <w:jc w:val="right"/>
        <w:rPr>
          <w:snapToGrid w:val="0"/>
          <w:color w:val="auto"/>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88"/>
        <w:gridCol w:w="2023"/>
        <w:gridCol w:w="796"/>
        <w:gridCol w:w="1013"/>
        <w:gridCol w:w="596"/>
        <w:gridCol w:w="704"/>
        <w:gridCol w:w="704"/>
        <w:gridCol w:w="704"/>
        <w:gridCol w:w="598"/>
      </w:tblGrid>
      <w:tr w:rsidR="008027CD" w:rsidRPr="00381276" w:rsidTr="00F60882">
        <w:tc>
          <w:tcPr>
            <w:tcW w:w="9498" w:type="dxa"/>
            <w:gridSpan w:val="10"/>
          </w:tcPr>
          <w:p w:rsidR="008027CD" w:rsidRPr="00381276" w:rsidRDefault="008027CD" w:rsidP="00F60882">
            <w:pPr>
              <w:jc w:val="center"/>
              <w:rPr>
                <w:snapToGrid w:val="0"/>
                <w:color w:val="auto"/>
                <w:szCs w:val="28"/>
              </w:rPr>
            </w:pPr>
            <w:r w:rsidRPr="00381276">
              <w:rPr>
                <w:snapToGrid w:val="0"/>
                <w:color w:val="auto"/>
                <w:szCs w:val="28"/>
              </w:rPr>
              <w:t>Целевая статья</w:t>
            </w:r>
          </w:p>
        </w:tc>
      </w:tr>
      <w:tr w:rsidR="008027CD" w:rsidRPr="00381276" w:rsidTr="00F60882">
        <w:tc>
          <w:tcPr>
            <w:tcW w:w="2360" w:type="dxa"/>
            <w:gridSpan w:val="2"/>
          </w:tcPr>
          <w:p w:rsidR="008027CD" w:rsidRPr="00381276" w:rsidRDefault="008027CD" w:rsidP="00F60882">
            <w:pPr>
              <w:jc w:val="center"/>
              <w:rPr>
                <w:snapToGrid w:val="0"/>
                <w:color w:val="auto"/>
                <w:szCs w:val="28"/>
              </w:rPr>
            </w:pPr>
            <w:r w:rsidRPr="00381276">
              <w:rPr>
                <w:snapToGrid w:val="0"/>
                <w:color w:val="auto"/>
                <w:szCs w:val="28"/>
              </w:rPr>
              <w:t>Программное (непрограммное) направление расходов</w:t>
            </w:r>
          </w:p>
        </w:tc>
        <w:tc>
          <w:tcPr>
            <w:tcW w:w="2023" w:type="dxa"/>
          </w:tcPr>
          <w:p w:rsidR="008027CD" w:rsidRPr="00381276" w:rsidRDefault="008027CD" w:rsidP="00F60882">
            <w:pPr>
              <w:jc w:val="center"/>
              <w:rPr>
                <w:snapToGrid w:val="0"/>
                <w:color w:val="auto"/>
                <w:szCs w:val="28"/>
              </w:rPr>
            </w:pPr>
            <w:r w:rsidRPr="00381276">
              <w:rPr>
                <w:snapToGrid w:val="0"/>
                <w:color w:val="auto"/>
                <w:szCs w:val="28"/>
              </w:rPr>
              <w:t>Подпрограмма (сфера деятельности)</w:t>
            </w:r>
          </w:p>
        </w:tc>
        <w:tc>
          <w:tcPr>
            <w:tcW w:w="1809" w:type="dxa"/>
            <w:gridSpan w:val="2"/>
          </w:tcPr>
          <w:p w:rsidR="008027CD" w:rsidRPr="00381276" w:rsidRDefault="008027CD" w:rsidP="00F60882">
            <w:pPr>
              <w:jc w:val="center"/>
              <w:rPr>
                <w:snapToGrid w:val="0"/>
                <w:color w:val="auto"/>
                <w:szCs w:val="28"/>
              </w:rPr>
            </w:pPr>
            <w:r w:rsidRPr="00381276">
              <w:rPr>
                <w:snapToGrid w:val="0"/>
                <w:color w:val="auto"/>
                <w:szCs w:val="28"/>
              </w:rPr>
              <w:t>Основное мероприятие</w:t>
            </w:r>
          </w:p>
        </w:tc>
        <w:tc>
          <w:tcPr>
            <w:tcW w:w="3306" w:type="dxa"/>
            <w:gridSpan w:val="5"/>
          </w:tcPr>
          <w:p w:rsidR="008027CD" w:rsidRPr="00381276" w:rsidRDefault="008027CD" w:rsidP="00F60882">
            <w:pPr>
              <w:jc w:val="center"/>
              <w:rPr>
                <w:snapToGrid w:val="0"/>
                <w:color w:val="auto"/>
                <w:szCs w:val="28"/>
              </w:rPr>
            </w:pPr>
            <w:r w:rsidRPr="00381276">
              <w:rPr>
                <w:snapToGrid w:val="0"/>
                <w:color w:val="auto"/>
              </w:rPr>
              <w:t>Направление расходов</w:t>
            </w:r>
          </w:p>
        </w:tc>
      </w:tr>
      <w:tr w:rsidR="008027CD" w:rsidRPr="00381276" w:rsidTr="00F60882">
        <w:tc>
          <w:tcPr>
            <w:tcW w:w="1072" w:type="dxa"/>
          </w:tcPr>
          <w:p w:rsidR="008027CD" w:rsidRPr="00381276" w:rsidRDefault="008027CD" w:rsidP="00F60882">
            <w:pPr>
              <w:jc w:val="center"/>
              <w:rPr>
                <w:snapToGrid w:val="0"/>
                <w:color w:val="auto"/>
                <w:sz w:val="24"/>
                <w:szCs w:val="24"/>
              </w:rPr>
            </w:pPr>
            <w:r w:rsidRPr="00381276">
              <w:rPr>
                <w:snapToGrid w:val="0"/>
                <w:color w:val="auto"/>
                <w:sz w:val="24"/>
                <w:szCs w:val="24"/>
              </w:rPr>
              <w:t>8</w:t>
            </w:r>
          </w:p>
        </w:tc>
        <w:tc>
          <w:tcPr>
            <w:tcW w:w="1288" w:type="dxa"/>
          </w:tcPr>
          <w:p w:rsidR="008027CD" w:rsidRPr="00381276" w:rsidRDefault="008027CD" w:rsidP="00F60882">
            <w:pPr>
              <w:jc w:val="center"/>
              <w:rPr>
                <w:snapToGrid w:val="0"/>
                <w:color w:val="auto"/>
                <w:sz w:val="24"/>
                <w:szCs w:val="24"/>
              </w:rPr>
            </w:pPr>
            <w:r w:rsidRPr="00381276">
              <w:rPr>
                <w:snapToGrid w:val="0"/>
                <w:color w:val="auto"/>
                <w:sz w:val="24"/>
                <w:szCs w:val="24"/>
              </w:rPr>
              <w:t>9</w:t>
            </w:r>
          </w:p>
        </w:tc>
        <w:tc>
          <w:tcPr>
            <w:tcW w:w="2023" w:type="dxa"/>
          </w:tcPr>
          <w:p w:rsidR="008027CD" w:rsidRPr="00381276" w:rsidRDefault="008027CD" w:rsidP="00F60882">
            <w:pPr>
              <w:jc w:val="center"/>
              <w:rPr>
                <w:snapToGrid w:val="0"/>
                <w:color w:val="auto"/>
                <w:sz w:val="24"/>
                <w:szCs w:val="24"/>
              </w:rPr>
            </w:pPr>
            <w:r w:rsidRPr="00381276">
              <w:rPr>
                <w:snapToGrid w:val="0"/>
                <w:color w:val="auto"/>
                <w:sz w:val="24"/>
                <w:szCs w:val="24"/>
              </w:rPr>
              <w:t>10</w:t>
            </w:r>
          </w:p>
        </w:tc>
        <w:tc>
          <w:tcPr>
            <w:tcW w:w="796" w:type="dxa"/>
          </w:tcPr>
          <w:p w:rsidR="008027CD" w:rsidRPr="00381276" w:rsidRDefault="008027CD" w:rsidP="00F60882">
            <w:pPr>
              <w:jc w:val="center"/>
              <w:rPr>
                <w:snapToGrid w:val="0"/>
                <w:color w:val="auto"/>
                <w:sz w:val="24"/>
                <w:szCs w:val="24"/>
              </w:rPr>
            </w:pPr>
            <w:r w:rsidRPr="00381276">
              <w:rPr>
                <w:snapToGrid w:val="0"/>
                <w:color w:val="auto"/>
                <w:sz w:val="24"/>
                <w:szCs w:val="24"/>
              </w:rPr>
              <w:t>11</w:t>
            </w:r>
          </w:p>
        </w:tc>
        <w:tc>
          <w:tcPr>
            <w:tcW w:w="1013" w:type="dxa"/>
          </w:tcPr>
          <w:p w:rsidR="008027CD" w:rsidRPr="00381276" w:rsidRDefault="008027CD" w:rsidP="00F60882">
            <w:pPr>
              <w:jc w:val="center"/>
              <w:rPr>
                <w:snapToGrid w:val="0"/>
                <w:color w:val="auto"/>
                <w:sz w:val="24"/>
                <w:szCs w:val="24"/>
              </w:rPr>
            </w:pPr>
            <w:r w:rsidRPr="00381276">
              <w:rPr>
                <w:snapToGrid w:val="0"/>
                <w:color w:val="auto"/>
                <w:sz w:val="24"/>
                <w:szCs w:val="24"/>
              </w:rPr>
              <w:t>12</w:t>
            </w:r>
          </w:p>
        </w:tc>
        <w:tc>
          <w:tcPr>
            <w:tcW w:w="596" w:type="dxa"/>
          </w:tcPr>
          <w:p w:rsidR="008027CD" w:rsidRPr="00381276" w:rsidRDefault="008027CD" w:rsidP="00F60882">
            <w:pPr>
              <w:jc w:val="center"/>
              <w:rPr>
                <w:snapToGrid w:val="0"/>
                <w:color w:val="auto"/>
                <w:sz w:val="24"/>
                <w:szCs w:val="24"/>
              </w:rPr>
            </w:pPr>
            <w:r w:rsidRPr="00381276">
              <w:rPr>
                <w:snapToGrid w:val="0"/>
                <w:color w:val="auto"/>
                <w:sz w:val="24"/>
                <w:szCs w:val="24"/>
              </w:rPr>
              <w:t>13</w:t>
            </w:r>
          </w:p>
        </w:tc>
        <w:tc>
          <w:tcPr>
            <w:tcW w:w="704" w:type="dxa"/>
          </w:tcPr>
          <w:p w:rsidR="008027CD" w:rsidRPr="00381276" w:rsidRDefault="008027CD" w:rsidP="00F60882">
            <w:pPr>
              <w:jc w:val="center"/>
              <w:rPr>
                <w:snapToGrid w:val="0"/>
                <w:color w:val="auto"/>
                <w:sz w:val="24"/>
                <w:szCs w:val="24"/>
              </w:rPr>
            </w:pPr>
            <w:r w:rsidRPr="00381276">
              <w:rPr>
                <w:snapToGrid w:val="0"/>
                <w:color w:val="auto"/>
                <w:sz w:val="24"/>
                <w:szCs w:val="24"/>
              </w:rPr>
              <w:t>14</w:t>
            </w:r>
          </w:p>
        </w:tc>
        <w:tc>
          <w:tcPr>
            <w:tcW w:w="704" w:type="dxa"/>
          </w:tcPr>
          <w:p w:rsidR="008027CD" w:rsidRPr="00381276" w:rsidRDefault="008027CD" w:rsidP="00F60882">
            <w:pPr>
              <w:jc w:val="center"/>
              <w:rPr>
                <w:snapToGrid w:val="0"/>
                <w:color w:val="auto"/>
                <w:sz w:val="24"/>
                <w:szCs w:val="24"/>
              </w:rPr>
            </w:pPr>
            <w:r w:rsidRPr="00381276">
              <w:rPr>
                <w:snapToGrid w:val="0"/>
                <w:color w:val="auto"/>
                <w:sz w:val="24"/>
                <w:szCs w:val="24"/>
              </w:rPr>
              <w:t>15</w:t>
            </w:r>
          </w:p>
        </w:tc>
        <w:tc>
          <w:tcPr>
            <w:tcW w:w="704" w:type="dxa"/>
          </w:tcPr>
          <w:p w:rsidR="008027CD" w:rsidRPr="00381276" w:rsidRDefault="008027CD" w:rsidP="00F60882">
            <w:pPr>
              <w:jc w:val="center"/>
              <w:rPr>
                <w:snapToGrid w:val="0"/>
                <w:color w:val="auto"/>
                <w:sz w:val="24"/>
                <w:szCs w:val="24"/>
              </w:rPr>
            </w:pPr>
            <w:r w:rsidRPr="00381276">
              <w:rPr>
                <w:snapToGrid w:val="0"/>
                <w:color w:val="auto"/>
                <w:sz w:val="24"/>
                <w:szCs w:val="24"/>
              </w:rPr>
              <w:t>16</w:t>
            </w:r>
          </w:p>
        </w:tc>
        <w:tc>
          <w:tcPr>
            <w:tcW w:w="598" w:type="dxa"/>
          </w:tcPr>
          <w:p w:rsidR="008027CD" w:rsidRPr="00381276" w:rsidRDefault="008027CD" w:rsidP="00F60882">
            <w:pPr>
              <w:jc w:val="center"/>
              <w:rPr>
                <w:snapToGrid w:val="0"/>
                <w:color w:val="auto"/>
                <w:sz w:val="24"/>
                <w:szCs w:val="24"/>
              </w:rPr>
            </w:pPr>
            <w:r w:rsidRPr="00381276">
              <w:rPr>
                <w:snapToGrid w:val="0"/>
                <w:color w:val="auto"/>
                <w:sz w:val="24"/>
                <w:szCs w:val="24"/>
              </w:rPr>
              <w:t>17</w:t>
            </w:r>
          </w:p>
        </w:tc>
      </w:tr>
    </w:tbl>
    <w:p w:rsidR="008027CD" w:rsidRPr="00E81529" w:rsidRDefault="008027CD" w:rsidP="008027CD">
      <w:pPr>
        <w:jc w:val="both"/>
        <w:rPr>
          <w:snapToGrid w:val="0"/>
          <w:color w:val="FF0000"/>
          <w:highlight w:val="yellow"/>
        </w:rPr>
      </w:pPr>
    </w:p>
    <w:p w:rsidR="008027CD" w:rsidRPr="00381276" w:rsidRDefault="008027CD" w:rsidP="008027CD">
      <w:pPr>
        <w:autoSpaceDE w:val="0"/>
        <w:autoSpaceDN w:val="0"/>
        <w:adjustRightInd w:val="0"/>
        <w:ind w:firstLine="709"/>
        <w:jc w:val="both"/>
        <w:outlineLvl w:val="4"/>
        <w:rPr>
          <w:bCs/>
          <w:color w:val="auto"/>
          <w:szCs w:val="28"/>
        </w:rPr>
      </w:pPr>
      <w:r w:rsidRPr="00381276">
        <w:rPr>
          <w:bCs/>
          <w:color w:val="auto"/>
          <w:szCs w:val="28"/>
        </w:rPr>
        <w:t xml:space="preserve">Целевым статьям расходов местного бюджета присваиваются уникальные коды, сформированные с применением буквенно-цифрового ряда: 0, 1, 2, 3, 4, 5, 6, 7, 8, 9, Б, Г, Д, Ж, И, Л, </w:t>
      </w:r>
      <w:proofErr w:type="gramStart"/>
      <w:r w:rsidRPr="00381276">
        <w:rPr>
          <w:bCs/>
          <w:color w:val="auto"/>
          <w:szCs w:val="28"/>
        </w:rPr>
        <w:t>П</w:t>
      </w:r>
      <w:proofErr w:type="gramEnd"/>
      <w:r w:rsidRPr="00381276">
        <w:rPr>
          <w:bCs/>
          <w:color w:val="auto"/>
          <w:szCs w:val="28"/>
        </w:rPr>
        <w:t xml:space="preserve">, Ф, Ц, Ч, Ш, Э, Ю, Я, </w:t>
      </w:r>
      <w:r w:rsidRPr="00381276">
        <w:rPr>
          <w:bCs/>
          <w:color w:val="auto"/>
          <w:szCs w:val="28"/>
          <w:lang w:val="en-US"/>
        </w:rPr>
        <w:t>S</w:t>
      </w:r>
      <w:r w:rsidRPr="00381276">
        <w:rPr>
          <w:bCs/>
          <w:color w:val="auto"/>
          <w:szCs w:val="28"/>
        </w:rPr>
        <w:t xml:space="preserve">, </w:t>
      </w:r>
      <w:r w:rsidRPr="00381276">
        <w:rPr>
          <w:bCs/>
          <w:color w:val="auto"/>
          <w:szCs w:val="28"/>
          <w:lang w:val="en-US"/>
        </w:rPr>
        <w:t>L</w:t>
      </w:r>
      <w:r w:rsidRPr="00381276">
        <w:rPr>
          <w:bCs/>
          <w:color w:val="auto"/>
          <w:szCs w:val="28"/>
        </w:rPr>
        <w:t xml:space="preserve">, </w:t>
      </w:r>
      <w:r w:rsidRPr="00381276">
        <w:rPr>
          <w:bCs/>
          <w:color w:val="auto"/>
          <w:szCs w:val="28"/>
          <w:lang w:val="en-US"/>
        </w:rPr>
        <w:t>R</w:t>
      </w:r>
      <w:r w:rsidRPr="00381276">
        <w:rPr>
          <w:bCs/>
          <w:color w:val="auto"/>
          <w:szCs w:val="28"/>
        </w:rPr>
        <w:t xml:space="preserve">, </w:t>
      </w:r>
      <w:r w:rsidRPr="00381276">
        <w:rPr>
          <w:bCs/>
          <w:color w:val="auto"/>
          <w:szCs w:val="28"/>
          <w:lang w:val="en-US"/>
        </w:rPr>
        <w:t>W</w:t>
      </w:r>
      <w:r w:rsidRPr="00381276">
        <w:rPr>
          <w:bCs/>
          <w:color w:val="auto"/>
          <w:szCs w:val="28"/>
        </w:rPr>
        <w:t>.</w:t>
      </w:r>
    </w:p>
    <w:p w:rsidR="008027CD" w:rsidRPr="00381276" w:rsidRDefault="008027CD" w:rsidP="008027CD">
      <w:pPr>
        <w:autoSpaceDE w:val="0"/>
        <w:autoSpaceDN w:val="0"/>
        <w:adjustRightInd w:val="0"/>
        <w:ind w:firstLine="709"/>
        <w:jc w:val="both"/>
        <w:outlineLvl w:val="4"/>
        <w:rPr>
          <w:bCs/>
          <w:color w:val="auto"/>
          <w:szCs w:val="28"/>
        </w:rPr>
      </w:pPr>
      <w:r w:rsidRPr="00381276">
        <w:rPr>
          <w:bCs/>
          <w:color w:val="auto"/>
          <w:szCs w:val="28"/>
        </w:rPr>
        <w:t>Значения кода программного (непрограммного) направления расходов (8-9 разряды) предназначены  для кодирования, соответственно:</w:t>
      </w:r>
    </w:p>
    <w:p w:rsidR="008027CD" w:rsidRPr="00381276" w:rsidRDefault="008027CD" w:rsidP="008027CD">
      <w:pPr>
        <w:autoSpaceDE w:val="0"/>
        <w:autoSpaceDN w:val="0"/>
        <w:adjustRightInd w:val="0"/>
        <w:ind w:firstLine="709"/>
        <w:jc w:val="both"/>
        <w:outlineLvl w:val="4"/>
        <w:rPr>
          <w:bCs/>
          <w:color w:val="auto"/>
          <w:szCs w:val="28"/>
        </w:rPr>
      </w:pPr>
      <w:r w:rsidRPr="00381276">
        <w:rPr>
          <w:bCs/>
          <w:color w:val="auto"/>
          <w:szCs w:val="28"/>
        </w:rPr>
        <w:t>с 1 по 49 – муниципальные программы;</w:t>
      </w:r>
    </w:p>
    <w:p w:rsidR="008027CD" w:rsidRPr="00381276" w:rsidRDefault="008027CD" w:rsidP="008027CD">
      <w:pPr>
        <w:autoSpaceDE w:val="0"/>
        <w:autoSpaceDN w:val="0"/>
        <w:adjustRightInd w:val="0"/>
        <w:ind w:firstLine="709"/>
        <w:jc w:val="both"/>
        <w:outlineLvl w:val="4"/>
        <w:rPr>
          <w:bCs/>
          <w:color w:val="auto"/>
          <w:szCs w:val="28"/>
        </w:rPr>
      </w:pPr>
      <w:r w:rsidRPr="00381276">
        <w:rPr>
          <w:bCs/>
          <w:color w:val="auto"/>
          <w:szCs w:val="28"/>
        </w:rPr>
        <w:t>с 50 по 99 – непрограммные направления расходов местного бюджета.</w:t>
      </w:r>
    </w:p>
    <w:p w:rsidR="008027CD" w:rsidRPr="00381276" w:rsidRDefault="008027CD" w:rsidP="008027CD">
      <w:pPr>
        <w:ind w:firstLine="709"/>
        <w:jc w:val="both"/>
      </w:pPr>
      <w:r w:rsidRPr="00381276">
        <w:rPr>
          <w:color w:val="auto"/>
          <w:szCs w:val="28"/>
        </w:rPr>
        <w:t>Отражение расходов бюджета городского округа Жигулевск, источником финансового обеспечения которых являются целевые межбюджетные трансферты, осуществляется по целевым статьям расходов местного бюджета, сохраняющим коды направлений расходов (13-17 разряды), идентичные кодам соответствующих направлений расходов вышестоящих бюджетов.</w:t>
      </w:r>
      <w:r w:rsidRPr="00381276">
        <w:rPr>
          <w:color w:val="auto"/>
        </w:rPr>
        <w:t xml:space="preserve"> При этом наименование указанного направления</w:t>
      </w:r>
      <w:r w:rsidRPr="00381276">
        <w:t xml:space="preserve"> расходов муниципального бюджета (наименование целевой статьи, содержащей соответствующее направление расходов бюджета) не должно включать указания на наименование межбюджетного трансферта, являющегося источником финансового обеспечения расходов местного бюджета.</w:t>
      </w:r>
    </w:p>
    <w:p w:rsidR="008027CD" w:rsidRPr="00381276" w:rsidRDefault="008027CD" w:rsidP="008027CD">
      <w:pPr>
        <w:autoSpaceDE w:val="0"/>
        <w:autoSpaceDN w:val="0"/>
        <w:adjustRightInd w:val="0"/>
        <w:ind w:firstLine="720"/>
        <w:jc w:val="both"/>
        <w:outlineLvl w:val="4"/>
        <w:rPr>
          <w:snapToGrid w:val="0"/>
          <w:szCs w:val="28"/>
        </w:rPr>
      </w:pPr>
      <w:r w:rsidRPr="00381276">
        <w:rPr>
          <w:snapToGrid w:val="0"/>
          <w:szCs w:val="28"/>
        </w:rPr>
        <w:t>Расходы на содержание органов местного самоуправления за счет средств бюджета  округа за исключением субвенций на исполнение переданных государственных полномочий, финансовое обеспечение выполнения функций муниципальными учреждениями подлежат отражению по соответствующим целевым статьям, содержащим соответствующие направления расходов:</w:t>
      </w:r>
    </w:p>
    <w:p w:rsidR="008027CD" w:rsidRPr="00381276" w:rsidRDefault="008027CD" w:rsidP="008027CD">
      <w:pPr>
        <w:autoSpaceDE w:val="0"/>
        <w:autoSpaceDN w:val="0"/>
        <w:adjustRightInd w:val="0"/>
        <w:ind w:firstLine="720"/>
        <w:jc w:val="both"/>
        <w:outlineLvl w:val="4"/>
        <w:rPr>
          <w:snapToGrid w:val="0"/>
          <w:szCs w:val="28"/>
        </w:rPr>
      </w:pPr>
      <w:r w:rsidRPr="00381276">
        <w:rPr>
          <w:snapToGrid w:val="0"/>
          <w:szCs w:val="28"/>
        </w:rPr>
        <w:t>11000 - Расходы на содержание органов местного самоуправления за счет средств бюджета городского округа Жигулевск;</w:t>
      </w:r>
    </w:p>
    <w:p w:rsidR="008027CD" w:rsidRPr="00381276" w:rsidRDefault="008027CD" w:rsidP="008027CD">
      <w:pPr>
        <w:jc w:val="both"/>
        <w:rPr>
          <w:szCs w:val="28"/>
        </w:rPr>
      </w:pPr>
      <w:r w:rsidRPr="00381276">
        <w:rPr>
          <w:szCs w:val="28"/>
        </w:rPr>
        <w:t xml:space="preserve">          12000 - Расходы на обеспечение деятельности (оказание услуг) муниципальных казенных учреждений;</w:t>
      </w:r>
    </w:p>
    <w:p w:rsidR="008027CD" w:rsidRPr="00381276" w:rsidRDefault="008027CD" w:rsidP="008027CD">
      <w:pPr>
        <w:jc w:val="both"/>
        <w:rPr>
          <w:szCs w:val="28"/>
        </w:rPr>
      </w:pPr>
      <w:r w:rsidRPr="00381276">
        <w:rPr>
          <w:szCs w:val="28"/>
        </w:rPr>
        <w:t xml:space="preserve">          14000 - Расходы на обеспечение деятельности (оказание услуг) муниципальных бюджетных и автономных учреждений;</w:t>
      </w:r>
    </w:p>
    <w:p w:rsidR="008027CD" w:rsidRPr="00F52862" w:rsidRDefault="008027CD" w:rsidP="008027CD">
      <w:pPr>
        <w:pStyle w:val="ConsPlusNormal"/>
        <w:spacing w:after="18"/>
        <w:ind w:firstLine="709"/>
        <w:jc w:val="both"/>
        <w:rPr>
          <w:rFonts w:ascii="Times New Roman" w:hAnsi="Times New Roman" w:cs="Times New Roman"/>
          <w:sz w:val="28"/>
          <w:szCs w:val="28"/>
        </w:rPr>
      </w:pPr>
      <w:r w:rsidRPr="002929E6">
        <w:rPr>
          <w:rFonts w:ascii="Times New Roman" w:hAnsi="Times New Roman" w:cs="Times New Roman"/>
          <w:sz w:val="28"/>
          <w:szCs w:val="28"/>
        </w:rPr>
        <w:t xml:space="preserve">Значения </w:t>
      </w:r>
      <w:proofErr w:type="gramStart"/>
      <w:r w:rsidRPr="002929E6">
        <w:rPr>
          <w:rFonts w:ascii="Times New Roman" w:hAnsi="Times New Roman" w:cs="Times New Roman"/>
          <w:sz w:val="28"/>
          <w:szCs w:val="28"/>
        </w:rPr>
        <w:t>кода направления расходов бюджета городского округа</w:t>
      </w:r>
      <w:proofErr w:type="gramEnd"/>
      <w:r w:rsidRPr="002929E6">
        <w:rPr>
          <w:rFonts w:ascii="Times New Roman" w:hAnsi="Times New Roman" w:cs="Times New Roman"/>
          <w:sz w:val="28"/>
          <w:szCs w:val="28"/>
        </w:rPr>
        <w:t xml:space="preserve"> Жигулевск R0000 - R9990, L0000 - L9990, S0000 - S9990 используются:</w:t>
      </w:r>
      <w:r w:rsidRPr="00F52862">
        <w:rPr>
          <w:rFonts w:ascii="Times New Roman" w:hAnsi="Times New Roman" w:cs="Times New Roman"/>
          <w:sz w:val="28"/>
          <w:szCs w:val="28"/>
        </w:rPr>
        <w:t xml:space="preserve"> </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R0000 - R9990 - для отражения расходов 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 xml:space="preserve">а </w:t>
      </w:r>
      <w:r w:rsidRPr="00364DA9">
        <w:rPr>
          <w:rFonts w:ascii="Times New Roman" w:hAnsi="Times New Roman" w:cs="Times New Roman"/>
          <w:sz w:val="28"/>
          <w:szCs w:val="28"/>
        </w:rPr>
        <w:t>(за исключением расходов на реализацию региональных проектов, направленных на достижение соответствующих результатов реализации федеральных проектов)</w:t>
      </w:r>
      <w:r w:rsidRPr="00ED3DF2">
        <w:rPr>
          <w:rFonts w:ascii="Times New Roman" w:hAnsi="Times New Roman" w:cs="Times New Roman"/>
          <w:sz w:val="28"/>
          <w:szCs w:val="28"/>
        </w:rPr>
        <w:t xml:space="preserve">, в целях финансового обеспечения которых предоставляются субвенции из </w:t>
      </w:r>
      <w:r>
        <w:rPr>
          <w:rFonts w:ascii="Times New Roman" w:hAnsi="Times New Roman" w:cs="Times New Roman"/>
          <w:sz w:val="28"/>
          <w:szCs w:val="28"/>
        </w:rPr>
        <w:t xml:space="preserve">областного </w:t>
      </w:r>
      <w:r w:rsidRPr="00ED3DF2">
        <w:rPr>
          <w:rFonts w:ascii="Times New Roman" w:hAnsi="Times New Roman" w:cs="Times New Roman"/>
          <w:sz w:val="28"/>
          <w:szCs w:val="28"/>
        </w:rPr>
        <w:t xml:space="preserve">бюджета, в целях </w:t>
      </w:r>
      <w:proofErr w:type="spellStart"/>
      <w:r w:rsidRPr="00ED3DF2">
        <w:rPr>
          <w:rFonts w:ascii="Times New Roman" w:hAnsi="Times New Roman" w:cs="Times New Roman"/>
          <w:sz w:val="28"/>
          <w:szCs w:val="28"/>
        </w:rPr>
        <w:t>софинансирования</w:t>
      </w:r>
      <w:proofErr w:type="spellEnd"/>
      <w:r w:rsidRPr="00ED3DF2">
        <w:rPr>
          <w:rFonts w:ascii="Times New Roman" w:hAnsi="Times New Roman" w:cs="Times New Roman"/>
          <w:sz w:val="28"/>
          <w:szCs w:val="28"/>
        </w:rPr>
        <w:t xml:space="preserve"> которых </w:t>
      </w:r>
      <w:r>
        <w:rPr>
          <w:rFonts w:ascii="Times New Roman" w:hAnsi="Times New Roman" w:cs="Times New Roman"/>
          <w:sz w:val="28"/>
          <w:szCs w:val="28"/>
        </w:rPr>
        <w:t>областному бюджету</w:t>
      </w:r>
      <w:r w:rsidRPr="00ED3DF2">
        <w:rPr>
          <w:rFonts w:ascii="Times New Roman" w:hAnsi="Times New Roman" w:cs="Times New Roman"/>
          <w:sz w:val="28"/>
          <w:szCs w:val="28"/>
        </w:rPr>
        <w:t xml:space="preserve"> предоставляются из федерального бюджета субсидии и иные межбюджетные трансферты;</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L0000 - L9990 - для отражения расходов 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 xml:space="preserve">а </w:t>
      </w:r>
      <w:r w:rsidRPr="00364DA9">
        <w:rPr>
          <w:rFonts w:ascii="Times New Roman" w:hAnsi="Times New Roman" w:cs="Times New Roman"/>
          <w:sz w:val="28"/>
          <w:szCs w:val="28"/>
        </w:rPr>
        <w:t>(за исключением расходов на реализацию региональных проектов, направленных на достижение соответствующих результатов реализации федеральных проектов)</w:t>
      </w:r>
      <w:r w:rsidRPr="00ED3DF2">
        <w:rPr>
          <w:rFonts w:ascii="Times New Roman" w:hAnsi="Times New Roman" w:cs="Times New Roman"/>
          <w:sz w:val="28"/>
          <w:szCs w:val="28"/>
        </w:rPr>
        <w:t xml:space="preserve">, в целях </w:t>
      </w:r>
      <w:proofErr w:type="spellStart"/>
      <w:r w:rsidRPr="00ED3DF2">
        <w:rPr>
          <w:rFonts w:ascii="Times New Roman" w:hAnsi="Times New Roman" w:cs="Times New Roman"/>
          <w:sz w:val="28"/>
          <w:szCs w:val="28"/>
        </w:rPr>
        <w:t>софинансирования</w:t>
      </w:r>
      <w:proofErr w:type="spellEnd"/>
      <w:r w:rsidRPr="00ED3DF2">
        <w:rPr>
          <w:rFonts w:ascii="Times New Roman" w:hAnsi="Times New Roman" w:cs="Times New Roman"/>
          <w:sz w:val="28"/>
          <w:szCs w:val="28"/>
        </w:rPr>
        <w:t xml:space="preserve"> которых из </w:t>
      </w:r>
      <w:r>
        <w:rPr>
          <w:rFonts w:ascii="Times New Roman" w:hAnsi="Times New Roman" w:cs="Times New Roman"/>
          <w:sz w:val="28"/>
          <w:szCs w:val="28"/>
        </w:rPr>
        <w:t xml:space="preserve">областного </w:t>
      </w:r>
      <w:r w:rsidRPr="00ED3DF2">
        <w:rPr>
          <w:rFonts w:ascii="Times New Roman" w:hAnsi="Times New Roman" w:cs="Times New Roman"/>
          <w:sz w:val="28"/>
          <w:szCs w:val="28"/>
        </w:rPr>
        <w:t xml:space="preserve">бюджета предоставляются субсидии и иные межбюджетные трансферты, в целях </w:t>
      </w:r>
      <w:proofErr w:type="spellStart"/>
      <w:r w:rsidRPr="00ED3DF2">
        <w:rPr>
          <w:rFonts w:ascii="Times New Roman" w:hAnsi="Times New Roman" w:cs="Times New Roman"/>
          <w:sz w:val="28"/>
          <w:szCs w:val="28"/>
        </w:rPr>
        <w:t>софинансирования</w:t>
      </w:r>
      <w:proofErr w:type="spellEnd"/>
      <w:r w:rsidRPr="00ED3DF2">
        <w:rPr>
          <w:rFonts w:ascii="Times New Roman" w:hAnsi="Times New Roman" w:cs="Times New Roman"/>
          <w:sz w:val="28"/>
          <w:szCs w:val="28"/>
        </w:rPr>
        <w:t xml:space="preserve"> которых </w:t>
      </w:r>
      <w:r>
        <w:rPr>
          <w:rFonts w:ascii="Times New Roman" w:hAnsi="Times New Roman" w:cs="Times New Roman"/>
          <w:sz w:val="28"/>
          <w:szCs w:val="28"/>
        </w:rPr>
        <w:t xml:space="preserve">областному </w:t>
      </w:r>
      <w:r w:rsidRPr="00ED3DF2">
        <w:rPr>
          <w:rFonts w:ascii="Times New Roman" w:hAnsi="Times New Roman" w:cs="Times New Roman"/>
          <w:sz w:val="28"/>
          <w:szCs w:val="28"/>
        </w:rPr>
        <w:t>бюджет</w:t>
      </w:r>
      <w:r>
        <w:rPr>
          <w:rFonts w:ascii="Times New Roman" w:hAnsi="Times New Roman" w:cs="Times New Roman"/>
          <w:sz w:val="28"/>
          <w:szCs w:val="28"/>
        </w:rPr>
        <w:t>у</w:t>
      </w:r>
      <w:r w:rsidRPr="00ED3DF2">
        <w:rPr>
          <w:rFonts w:ascii="Times New Roman" w:hAnsi="Times New Roman" w:cs="Times New Roman"/>
          <w:sz w:val="28"/>
          <w:szCs w:val="28"/>
        </w:rPr>
        <w:t xml:space="preserve"> предоставляются из федерального бюджета субсидии и иные межбюджетные трансферты;</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lastRenderedPageBreak/>
        <w:t>S0000 - S9990 - для отражения расходов 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а</w:t>
      </w:r>
      <w:r w:rsidRPr="00ED3DF2">
        <w:rPr>
          <w:rFonts w:ascii="Times New Roman" w:hAnsi="Times New Roman" w:cs="Times New Roman"/>
          <w:sz w:val="28"/>
          <w:szCs w:val="28"/>
        </w:rPr>
        <w:t xml:space="preserve">, в целях </w:t>
      </w:r>
      <w:proofErr w:type="spellStart"/>
      <w:r w:rsidRPr="00ED3DF2">
        <w:rPr>
          <w:rFonts w:ascii="Times New Roman" w:hAnsi="Times New Roman" w:cs="Times New Roman"/>
          <w:sz w:val="28"/>
          <w:szCs w:val="28"/>
        </w:rPr>
        <w:t>софинансирования</w:t>
      </w:r>
      <w:proofErr w:type="spellEnd"/>
      <w:r w:rsidRPr="00ED3DF2">
        <w:rPr>
          <w:rFonts w:ascii="Times New Roman" w:hAnsi="Times New Roman" w:cs="Times New Roman"/>
          <w:sz w:val="28"/>
          <w:szCs w:val="28"/>
        </w:rPr>
        <w:t xml:space="preserve"> которых из </w:t>
      </w:r>
      <w:r>
        <w:rPr>
          <w:rFonts w:ascii="Times New Roman" w:hAnsi="Times New Roman" w:cs="Times New Roman"/>
          <w:sz w:val="28"/>
          <w:szCs w:val="28"/>
        </w:rPr>
        <w:t xml:space="preserve">областного </w:t>
      </w:r>
      <w:r w:rsidRPr="00ED3DF2">
        <w:rPr>
          <w:rFonts w:ascii="Times New Roman" w:hAnsi="Times New Roman" w:cs="Times New Roman"/>
          <w:sz w:val="28"/>
          <w:szCs w:val="28"/>
        </w:rPr>
        <w:t>бюджет</w:t>
      </w:r>
      <w:r>
        <w:rPr>
          <w:rFonts w:ascii="Times New Roman" w:hAnsi="Times New Roman" w:cs="Times New Roman"/>
          <w:sz w:val="28"/>
          <w:szCs w:val="28"/>
        </w:rPr>
        <w:t>а</w:t>
      </w:r>
      <w:r w:rsidRPr="00ED3DF2">
        <w:rPr>
          <w:rFonts w:ascii="Times New Roman" w:hAnsi="Times New Roman" w:cs="Times New Roman"/>
          <w:sz w:val="28"/>
          <w:szCs w:val="28"/>
        </w:rPr>
        <w:t xml:space="preserve"> предоставляются местн</w:t>
      </w:r>
      <w:r>
        <w:rPr>
          <w:rFonts w:ascii="Times New Roman" w:hAnsi="Times New Roman" w:cs="Times New Roman"/>
          <w:sz w:val="28"/>
          <w:szCs w:val="28"/>
        </w:rPr>
        <w:t>ому</w:t>
      </w:r>
      <w:r w:rsidRPr="00ED3DF2">
        <w:rPr>
          <w:rFonts w:ascii="Times New Roman" w:hAnsi="Times New Roman" w:cs="Times New Roman"/>
          <w:sz w:val="28"/>
          <w:szCs w:val="28"/>
        </w:rPr>
        <w:t xml:space="preserve"> бюджет</w:t>
      </w:r>
      <w:r>
        <w:rPr>
          <w:rFonts w:ascii="Times New Roman" w:hAnsi="Times New Roman" w:cs="Times New Roman"/>
          <w:sz w:val="28"/>
          <w:szCs w:val="28"/>
        </w:rPr>
        <w:t>у</w:t>
      </w:r>
      <w:r w:rsidRPr="00ED3DF2">
        <w:rPr>
          <w:rFonts w:ascii="Times New Roman" w:hAnsi="Times New Roman" w:cs="Times New Roman"/>
          <w:sz w:val="28"/>
          <w:szCs w:val="28"/>
        </w:rPr>
        <w:t xml:space="preserve"> субсидии, которые не </w:t>
      </w:r>
      <w:proofErr w:type="spellStart"/>
      <w:r w:rsidRPr="00ED3DF2">
        <w:rPr>
          <w:rFonts w:ascii="Times New Roman" w:hAnsi="Times New Roman" w:cs="Times New Roman"/>
          <w:sz w:val="28"/>
          <w:szCs w:val="28"/>
        </w:rPr>
        <w:t>софинансируются</w:t>
      </w:r>
      <w:proofErr w:type="spellEnd"/>
      <w:r w:rsidRPr="00ED3DF2">
        <w:rPr>
          <w:rFonts w:ascii="Times New Roman" w:hAnsi="Times New Roman" w:cs="Times New Roman"/>
          <w:sz w:val="28"/>
          <w:szCs w:val="28"/>
        </w:rPr>
        <w:t xml:space="preserve"> из федерального бюджета, при перечислении субсидий в местный бюджет в доле, соответствующей установленному уровню </w:t>
      </w:r>
      <w:proofErr w:type="spellStart"/>
      <w:r w:rsidRPr="00ED3DF2">
        <w:rPr>
          <w:rFonts w:ascii="Times New Roman" w:hAnsi="Times New Roman" w:cs="Times New Roman"/>
          <w:sz w:val="28"/>
          <w:szCs w:val="28"/>
        </w:rPr>
        <w:t>софинансирования</w:t>
      </w:r>
      <w:proofErr w:type="spellEnd"/>
      <w:r w:rsidRPr="00ED3DF2">
        <w:rPr>
          <w:rFonts w:ascii="Times New Roman" w:hAnsi="Times New Roman" w:cs="Times New Roman"/>
          <w:sz w:val="28"/>
          <w:szCs w:val="28"/>
        </w:rPr>
        <w:t xml:space="preserve"> расходного обязательства муниципального образования, при оплате денежного обязательства получателя средств местного бюджета.</w:t>
      </w:r>
    </w:p>
    <w:p w:rsidR="008027CD" w:rsidRPr="002929E6" w:rsidRDefault="008027CD" w:rsidP="008027CD">
      <w:pPr>
        <w:ind w:firstLine="567"/>
        <w:jc w:val="both"/>
        <w:rPr>
          <w:color w:val="auto"/>
        </w:rPr>
      </w:pPr>
      <w:r w:rsidRPr="002929E6">
        <w:rPr>
          <w:color w:val="auto"/>
        </w:rPr>
        <w:t>Расходы местного бюджета, осуществляемые за счет субвенций, предоставляемых из областного бюджета за счет субсидий, предоставляемых из федерального бюджета, подлежат отражению по аналогичным направлениям расходов, по которым отражены соответствующие расходы на предоставление указанных субвенций из областного бюджета (</w:t>
      </w:r>
      <w:r w:rsidRPr="002929E6">
        <w:t>R</w:t>
      </w:r>
      <w:r w:rsidRPr="002929E6">
        <w:rPr>
          <w:szCs w:val="28"/>
        </w:rPr>
        <w:t>0000 - </w:t>
      </w:r>
      <w:r w:rsidRPr="002929E6">
        <w:t>R</w:t>
      </w:r>
      <w:r w:rsidRPr="002929E6">
        <w:rPr>
          <w:szCs w:val="28"/>
        </w:rPr>
        <w:t>9990).</w:t>
      </w:r>
      <w:r w:rsidRPr="002929E6">
        <w:rPr>
          <w:color w:val="auto"/>
        </w:rPr>
        <w:t xml:space="preserve">  </w:t>
      </w:r>
    </w:p>
    <w:p w:rsidR="008027CD" w:rsidRDefault="008027CD" w:rsidP="008027CD">
      <w:pPr>
        <w:pStyle w:val="ConsPlusNormal"/>
        <w:spacing w:after="18"/>
        <w:ind w:firstLine="709"/>
        <w:jc w:val="both"/>
        <w:rPr>
          <w:rFonts w:ascii="Times New Roman" w:hAnsi="Times New Roman" w:cs="Times New Roman"/>
          <w:sz w:val="28"/>
          <w:szCs w:val="28"/>
        </w:rPr>
      </w:pPr>
      <w:r w:rsidRPr="00197DF6">
        <w:rPr>
          <w:rFonts w:ascii="Times New Roman" w:hAnsi="Times New Roman" w:cs="Times New Roman"/>
          <w:sz w:val="28"/>
          <w:szCs w:val="28"/>
        </w:rPr>
        <w:t xml:space="preserve">При формировании кодов целевых статей расходов, содержащих направления расходов местного бюджета L0000 - L9990, S0000 - S9990, на уровне второго – четвертого разрядов направлений расходов обеспечивается однозначная увязка кодов расходов местного бюджета, в целях </w:t>
      </w:r>
      <w:proofErr w:type="spellStart"/>
      <w:r w:rsidRPr="00197DF6">
        <w:rPr>
          <w:rFonts w:ascii="Times New Roman" w:hAnsi="Times New Roman" w:cs="Times New Roman"/>
          <w:sz w:val="28"/>
          <w:szCs w:val="28"/>
        </w:rPr>
        <w:t>софинансирования</w:t>
      </w:r>
      <w:proofErr w:type="spellEnd"/>
      <w:r w:rsidRPr="00197DF6">
        <w:rPr>
          <w:rFonts w:ascii="Times New Roman" w:hAnsi="Times New Roman" w:cs="Times New Roman"/>
          <w:sz w:val="28"/>
          <w:szCs w:val="28"/>
        </w:rPr>
        <w:t xml:space="preserve"> которых из областного бюджета предоставлены субсидии, с кодами направлений расходов областного бюджета, за счет указанных субсидий. </w:t>
      </w:r>
    </w:p>
    <w:p w:rsidR="008027CD"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 xml:space="preserve">Финансовый орган муниципального образования вправе установить необходимую детализацию пятого разряда кодов направлений расходов, содержащих </w:t>
      </w:r>
      <w:r>
        <w:rPr>
          <w:rFonts w:ascii="Times New Roman" w:hAnsi="Times New Roman" w:cs="Times New Roman"/>
          <w:sz w:val="28"/>
          <w:szCs w:val="28"/>
        </w:rPr>
        <w:t xml:space="preserve">значения </w:t>
      </w:r>
      <w:r w:rsidRPr="00ED3DF2">
        <w:rPr>
          <w:rFonts w:ascii="Times New Roman" w:hAnsi="Times New Roman" w:cs="Times New Roman"/>
          <w:sz w:val="28"/>
          <w:szCs w:val="28"/>
        </w:rPr>
        <w:t>50000 - 59990, при отражении расходов 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а</w:t>
      </w:r>
      <w:r w:rsidRPr="00ED3DF2">
        <w:rPr>
          <w:rFonts w:ascii="Times New Roman" w:hAnsi="Times New Roman" w:cs="Times New Roman"/>
          <w:sz w:val="28"/>
          <w:szCs w:val="28"/>
        </w:rPr>
        <w:t>, источником финансового обеспечения которых являются межбюджетные трансферты, предоставляемые из федерального бюджета, по направлениям расходов в рамках целевого назначения предоставляемых межбюджетных трансфертов.</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а</w:t>
      </w:r>
      <w:r w:rsidRPr="00ED3DF2">
        <w:rPr>
          <w:rFonts w:ascii="Times New Roman" w:hAnsi="Times New Roman" w:cs="Times New Roman"/>
          <w:sz w:val="28"/>
          <w:szCs w:val="28"/>
        </w:rPr>
        <w:t xml:space="preserve">, </w:t>
      </w:r>
      <w:proofErr w:type="spellStart"/>
      <w:r w:rsidRPr="00ED3DF2">
        <w:rPr>
          <w:rFonts w:ascii="Times New Roman" w:hAnsi="Times New Roman" w:cs="Times New Roman"/>
          <w:sz w:val="28"/>
          <w:szCs w:val="28"/>
        </w:rPr>
        <w:t>софинансирование</w:t>
      </w:r>
      <w:proofErr w:type="spellEnd"/>
      <w:r w:rsidRPr="00ED3DF2">
        <w:rPr>
          <w:rFonts w:ascii="Times New Roman" w:hAnsi="Times New Roman" w:cs="Times New Roman"/>
          <w:sz w:val="28"/>
          <w:szCs w:val="28"/>
        </w:rPr>
        <w:t xml:space="preserve"> которых осуществляется путем предоставления субсидий и иных межбюджетных трансфертов из федерального бюджета.</w:t>
      </w:r>
    </w:p>
    <w:p w:rsidR="008027CD" w:rsidRPr="00ED3DF2" w:rsidRDefault="008027CD" w:rsidP="008027CD">
      <w:pPr>
        <w:pStyle w:val="ConsPlusNormal"/>
        <w:spacing w:after="18"/>
        <w:ind w:firstLine="709"/>
        <w:jc w:val="both"/>
        <w:rPr>
          <w:rFonts w:ascii="Times New Roman" w:hAnsi="Times New Roman" w:cs="Times New Roman"/>
          <w:sz w:val="28"/>
          <w:szCs w:val="28"/>
        </w:rPr>
      </w:pPr>
      <w:proofErr w:type="gramStart"/>
      <w:r w:rsidRPr="00ED3DF2">
        <w:rPr>
          <w:rFonts w:ascii="Times New Roman" w:hAnsi="Times New Roman" w:cs="Times New Roman"/>
          <w:sz w:val="28"/>
          <w:szCs w:val="28"/>
        </w:rPr>
        <w:t xml:space="preserve">Детализация пятого разряда кодов направлений расходов, содержащих значения 50000 - 59990, при отражении </w:t>
      </w:r>
      <w:r>
        <w:rPr>
          <w:rFonts w:ascii="Times New Roman" w:hAnsi="Times New Roman" w:cs="Times New Roman"/>
          <w:sz w:val="28"/>
          <w:szCs w:val="28"/>
        </w:rPr>
        <w:t xml:space="preserve">расходов </w:t>
      </w:r>
      <w:r w:rsidRPr="00ED3DF2">
        <w:rPr>
          <w:rFonts w:ascii="Times New Roman" w:hAnsi="Times New Roman" w:cs="Times New Roman"/>
          <w:sz w:val="28"/>
          <w:szCs w:val="28"/>
        </w:rPr>
        <w:t>местн</w:t>
      </w:r>
      <w:r>
        <w:rPr>
          <w:rFonts w:ascii="Times New Roman" w:hAnsi="Times New Roman" w:cs="Times New Roman"/>
          <w:sz w:val="28"/>
          <w:szCs w:val="28"/>
        </w:rPr>
        <w:t>ого</w:t>
      </w:r>
      <w:r w:rsidRPr="00ED3DF2">
        <w:rPr>
          <w:rFonts w:ascii="Times New Roman" w:hAnsi="Times New Roman" w:cs="Times New Roman"/>
          <w:sz w:val="28"/>
          <w:szCs w:val="28"/>
        </w:rPr>
        <w:t xml:space="preserve"> бюджет</w:t>
      </w:r>
      <w:r>
        <w:rPr>
          <w:rFonts w:ascii="Times New Roman" w:hAnsi="Times New Roman" w:cs="Times New Roman"/>
          <w:sz w:val="28"/>
          <w:szCs w:val="28"/>
        </w:rPr>
        <w:t>а</w:t>
      </w:r>
      <w:r w:rsidRPr="00ED3DF2">
        <w:rPr>
          <w:rFonts w:ascii="Times New Roman" w:hAnsi="Times New Roman" w:cs="Times New Roman"/>
          <w:sz w:val="28"/>
          <w:szCs w:val="28"/>
        </w:rPr>
        <w:t>, источником финансового обеспечения котор</w:t>
      </w:r>
      <w:r>
        <w:rPr>
          <w:rFonts w:ascii="Times New Roman" w:hAnsi="Times New Roman" w:cs="Times New Roman"/>
          <w:sz w:val="28"/>
          <w:szCs w:val="28"/>
        </w:rPr>
        <w:t>ого</w:t>
      </w:r>
      <w:r w:rsidRPr="00ED3DF2">
        <w:rPr>
          <w:rFonts w:ascii="Times New Roman" w:hAnsi="Times New Roman" w:cs="Times New Roman"/>
          <w:sz w:val="28"/>
          <w:szCs w:val="28"/>
        </w:rPr>
        <w:t xml:space="preserve"> являются межбюджетные трансферты, предоставляемые из федерального бюджета, а также кодов направлений расходов, содержащих значения R0000 - R9990 и L0000 - L9990, осуществляется с применением буквенно-цифрового ряда: 1, 2, 3, 4, 5, 6, 7, 8, 9, А, Б, В, Г, Д, Е, Ж, И</w:t>
      </w:r>
      <w:proofErr w:type="gramEnd"/>
      <w:r w:rsidRPr="00ED3DF2">
        <w:rPr>
          <w:rFonts w:ascii="Times New Roman" w:hAnsi="Times New Roman" w:cs="Times New Roman"/>
          <w:sz w:val="28"/>
          <w:szCs w:val="28"/>
        </w:rPr>
        <w:t xml:space="preserve">, К, Л, М, Н, </w:t>
      </w:r>
      <w:proofErr w:type="gramStart"/>
      <w:r w:rsidRPr="00ED3DF2">
        <w:rPr>
          <w:rFonts w:ascii="Times New Roman" w:hAnsi="Times New Roman" w:cs="Times New Roman"/>
          <w:sz w:val="28"/>
          <w:szCs w:val="28"/>
        </w:rPr>
        <w:t>П</w:t>
      </w:r>
      <w:proofErr w:type="gramEnd"/>
      <w:r w:rsidRPr="00ED3DF2">
        <w:rPr>
          <w:rFonts w:ascii="Times New Roman" w:hAnsi="Times New Roman" w:cs="Times New Roman"/>
          <w:sz w:val="28"/>
          <w:szCs w:val="28"/>
        </w:rPr>
        <w:t>, Р, С, Т, У, Ф, Ц, Ч, Ш, Щ, Э, Ю, Я, A, D, E, G, I, J, L, N, P, Q, S, T, U, V, W, Y, Z.</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При установлении в пятом разряде кодов направлений расходов федерального бюджета 50000 - 59990 значений "R" и "F", финансовый орган муниципального образования не вправе устанавливать дополнительную детализацию пятого разряда соответствующих кодов направлений расходов 50000 - 59990, R0000 - R9990 (L0000 - L9990) местного бюджета</w:t>
      </w:r>
      <w:r>
        <w:rPr>
          <w:rFonts w:ascii="Times New Roman" w:hAnsi="Times New Roman" w:cs="Times New Roman"/>
          <w:sz w:val="28"/>
          <w:szCs w:val="28"/>
        </w:rPr>
        <w:t>.</w:t>
      </w:r>
    </w:p>
    <w:p w:rsidR="008027CD" w:rsidRPr="00ED3DF2" w:rsidRDefault="008027CD" w:rsidP="008027CD">
      <w:pPr>
        <w:pStyle w:val="ConsPlusNormal"/>
        <w:spacing w:after="18"/>
        <w:ind w:firstLine="709"/>
        <w:jc w:val="both"/>
        <w:rPr>
          <w:rFonts w:ascii="Times New Roman" w:hAnsi="Times New Roman" w:cs="Times New Roman"/>
          <w:sz w:val="28"/>
          <w:szCs w:val="28"/>
        </w:rPr>
      </w:pPr>
      <w:r w:rsidRPr="00ED3DF2">
        <w:rPr>
          <w:rFonts w:ascii="Times New Roman" w:hAnsi="Times New Roman" w:cs="Times New Roman"/>
          <w:sz w:val="28"/>
          <w:szCs w:val="28"/>
        </w:rPr>
        <w:t>В случае</w:t>
      </w:r>
      <w:proofErr w:type="gramStart"/>
      <w:r w:rsidRPr="00ED3DF2">
        <w:rPr>
          <w:rFonts w:ascii="Times New Roman" w:hAnsi="Times New Roman" w:cs="Times New Roman"/>
          <w:sz w:val="28"/>
          <w:szCs w:val="28"/>
        </w:rPr>
        <w:t>,</w:t>
      </w:r>
      <w:proofErr w:type="gramEnd"/>
      <w:r w:rsidRPr="00ED3DF2">
        <w:rPr>
          <w:rFonts w:ascii="Times New Roman" w:hAnsi="Times New Roman" w:cs="Times New Roman"/>
          <w:sz w:val="28"/>
          <w:szCs w:val="28"/>
        </w:rPr>
        <w:t xml:space="preserve"> если финансовый орган муниципального образования</w:t>
      </w:r>
      <w:r>
        <w:rPr>
          <w:rFonts w:ascii="Times New Roman" w:hAnsi="Times New Roman" w:cs="Times New Roman"/>
          <w:sz w:val="28"/>
          <w:szCs w:val="28"/>
        </w:rPr>
        <w:t xml:space="preserve"> </w:t>
      </w:r>
      <w:r w:rsidRPr="00ED3DF2">
        <w:rPr>
          <w:rFonts w:ascii="Times New Roman" w:hAnsi="Times New Roman" w:cs="Times New Roman"/>
          <w:sz w:val="28"/>
          <w:szCs w:val="28"/>
        </w:rPr>
        <w:t xml:space="preserve">устанавливает детализацию пятого разряда кодов направлений расходов, </w:t>
      </w:r>
      <w:r w:rsidRPr="00ED3DF2">
        <w:rPr>
          <w:rFonts w:ascii="Times New Roman" w:hAnsi="Times New Roman" w:cs="Times New Roman"/>
          <w:sz w:val="28"/>
          <w:szCs w:val="28"/>
        </w:rPr>
        <w:lastRenderedPageBreak/>
        <w:t>содержащих</w:t>
      </w:r>
      <w:r>
        <w:rPr>
          <w:rFonts w:ascii="Times New Roman" w:hAnsi="Times New Roman" w:cs="Times New Roman"/>
          <w:sz w:val="28"/>
          <w:szCs w:val="28"/>
        </w:rPr>
        <w:t xml:space="preserve"> значения 5</w:t>
      </w:r>
      <w:r w:rsidRPr="00ED3DF2">
        <w:rPr>
          <w:rFonts w:ascii="Times New Roman" w:hAnsi="Times New Roman" w:cs="Times New Roman"/>
          <w:sz w:val="28"/>
          <w:szCs w:val="28"/>
        </w:rPr>
        <w:t>0000 - 59990, R0000 - R9990 и L0000 - L9990, в наименовании указанного направления расходов местного бюджета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w:t>
      </w:r>
    </w:p>
    <w:p w:rsidR="008027CD" w:rsidRPr="00CE61A0" w:rsidRDefault="008027CD" w:rsidP="008027CD">
      <w:pPr>
        <w:autoSpaceDE w:val="0"/>
        <w:autoSpaceDN w:val="0"/>
        <w:adjustRightInd w:val="0"/>
        <w:ind w:firstLine="720"/>
        <w:jc w:val="both"/>
        <w:outlineLvl w:val="4"/>
        <w:rPr>
          <w:snapToGrid w:val="0"/>
          <w:color w:val="auto"/>
          <w:szCs w:val="28"/>
        </w:rPr>
      </w:pPr>
      <w:proofErr w:type="gramStart"/>
      <w:r w:rsidRPr="00381276">
        <w:rPr>
          <w:bCs/>
          <w:color w:val="auto"/>
          <w:szCs w:val="28"/>
        </w:rPr>
        <w:t xml:space="preserve">Расходы бюджета округа на финансовое обеспечения мероприятий и (или) обособленных функций органов местного самоуправления и </w:t>
      </w:r>
      <w:r w:rsidRPr="00381276">
        <w:rPr>
          <w:snapToGrid w:val="0"/>
          <w:color w:val="auto"/>
          <w:szCs w:val="28"/>
        </w:rPr>
        <w:t xml:space="preserve">находящихся в их ведении муниципальных учреждений, </w:t>
      </w:r>
      <w:r w:rsidRPr="00381276">
        <w:rPr>
          <w:bCs/>
          <w:color w:val="auto"/>
          <w:szCs w:val="28"/>
        </w:rPr>
        <w:t xml:space="preserve">для отражения которых не предусмотрены обособленные направления расходов, подлежат отражению по соответствующим целевым статьям, содержащих направление расходов </w:t>
      </w:r>
      <w:r w:rsidRPr="00381276">
        <w:rPr>
          <w:snapToGrid w:val="0"/>
          <w:color w:val="auto"/>
          <w:szCs w:val="28"/>
        </w:rPr>
        <w:t>99990 "Реализация подпрограммы муниципальной программы, мероприятия в рамках муниципальной программы, а также непрограммных направлений расходов органов местного самоуправления".</w:t>
      </w:r>
      <w:proofErr w:type="gramEnd"/>
    </w:p>
    <w:p w:rsidR="008027CD" w:rsidRDefault="008027CD" w:rsidP="008027CD"/>
    <w:p w:rsidR="008027CD" w:rsidRDefault="008027CD" w:rsidP="008027CD"/>
    <w:p w:rsidR="008027CD" w:rsidRDefault="008027CD" w:rsidP="008027CD"/>
    <w:p w:rsidR="008027CD" w:rsidRDefault="008027CD" w:rsidP="008027CD"/>
    <w:p w:rsidR="008027CD" w:rsidRDefault="008027CD" w:rsidP="008027CD"/>
    <w:p w:rsidR="008027CD" w:rsidRDefault="008027CD" w:rsidP="008027CD"/>
    <w:p w:rsidR="008027CD" w:rsidRDefault="008027CD" w:rsidP="008027CD"/>
    <w:p w:rsidR="008027CD" w:rsidRDefault="008027CD" w:rsidP="00810114">
      <w:pPr>
        <w:ind w:left="-426" w:hanging="360"/>
        <w:jc w:val="both"/>
      </w:pPr>
    </w:p>
    <w:sectPr w:rsidR="008027CD" w:rsidSect="00B85970">
      <w:pgSz w:w="11906" w:h="16838"/>
      <w:pgMar w:top="426" w:right="709"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FF3"/>
    <w:multiLevelType w:val="hybridMultilevel"/>
    <w:tmpl w:val="F1D89D02"/>
    <w:lvl w:ilvl="0" w:tplc="6FAA682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094F3F3D"/>
    <w:multiLevelType w:val="hybridMultilevel"/>
    <w:tmpl w:val="1C86BD48"/>
    <w:lvl w:ilvl="0" w:tplc="87EC136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59039D"/>
    <w:multiLevelType w:val="hybridMultilevel"/>
    <w:tmpl w:val="4266A1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35D976A8"/>
    <w:multiLevelType w:val="hybridMultilevel"/>
    <w:tmpl w:val="83DADC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94A1149"/>
    <w:multiLevelType w:val="hybridMultilevel"/>
    <w:tmpl w:val="1C86BD48"/>
    <w:lvl w:ilvl="0" w:tplc="87EC136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E72678"/>
    <w:multiLevelType w:val="hybridMultilevel"/>
    <w:tmpl w:val="9D32295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85C7C58"/>
    <w:multiLevelType w:val="hybridMultilevel"/>
    <w:tmpl w:val="7C7C3C9C"/>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A712E4"/>
    <w:multiLevelType w:val="hybridMultilevel"/>
    <w:tmpl w:val="DF30F330"/>
    <w:lvl w:ilvl="0" w:tplc="862CA4B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nsid w:val="60E614E4"/>
    <w:multiLevelType w:val="hybridMultilevel"/>
    <w:tmpl w:val="E5DCB6F2"/>
    <w:lvl w:ilvl="0" w:tplc="3D20628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450881"/>
    <w:multiLevelType w:val="hybridMultilevel"/>
    <w:tmpl w:val="A34E8542"/>
    <w:lvl w:ilvl="0" w:tplc="275C4FD2">
      <w:start w:val="1"/>
      <w:numFmt w:val="decimal"/>
      <w:lvlText w:val="%1)"/>
      <w:lvlJc w:val="left"/>
      <w:pPr>
        <w:ind w:left="36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nsid w:val="64235A00"/>
    <w:multiLevelType w:val="hybridMultilevel"/>
    <w:tmpl w:val="B600D5FC"/>
    <w:lvl w:ilvl="0" w:tplc="F6FCB24C">
      <w:start w:val="1"/>
      <w:numFmt w:val="decimal"/>
      <w:lvlText w:val="%1)"/>
      <w:lvlJc w:val="left"/>
      <w:pPr>
        <w:ind w:left="390" w:hanging="3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F697028"/>
    <w:multiLevelType w:val="hybridMultilevel"/>
    <w:tmpl w:val="AB66D9B0"/>
    <w:lvl w:ilvl="0" w:tplc="558EA04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9077D9"/>
    <w:multiLevelType w:val="hybridMultilevel"/>
    <w:tmpl w:val="AF0616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BA386A"/>
    <w:multiLevelType w:val="hybridMultilevel"/>
    <w:tmpl w:val="850493D2"/>
    <w:lvl w:ilvl="0" w:tplc="04190011">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D724C63"/>
    <w:multiLevelType w:val="hybridMultilevel"/>
    <w:tmpl w:val="55C84232"/>
    <w:lvl w:ilvl="0" w:tplc="FF1ECC7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10"/>
  </w:num>
  <w:num w:numId="5">
    <w:abstractNumId w:val="13"/>
  </w:num>
  <w:num w:numId="6">
    <w:abstractNumId w:val="5"/>
  </w:num>
  <w:num w:numId="7">
    <w:abstractNumId w:val="7"/>
  </w:num>
  <w:num w:numId="8">
    <w:abstractNumId w:val="14"/>
  </w:num>
  <w:num w:numId="9">
    <w:abstractNumId w:val="12"/>
  </w:num>
  <w:num w:numId="10">
    <w:abstractNumId w:val="4"/>
  </w:num>
  <w:num w:numId="11">
    <w:abstractNumId w:val="11"/>
  </w:num>
  <w:num w:numId="12">
    <w:abstractNumId w:val="1"/>
  </w:num>
  <w:num w:numId="13">
    <w:abstractNumId w:val="0"/>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B53E61"/>
    <w:rsid w:val="00002B56"/>
    <w:rsid w:val="00006EA5"/>
    <w:rsid w:val="000120BC"/>
    <w:rsid w:val="00012666"/>
    <w:rsid w:val="000148A7"/>
    <w:rsid w:val="000251AC"/>
    <w:rsid w:val="00026FB1"/>
    <w:rsid w:val="00035F2F"/>
    <w:rsid w:val="000369A5"/>
    <w:rsid w:val="0003773A"/>
    <w:rsid w:val="000423CC"/>
    <w:rsid w:val="00042649"/>
    <w:rsid w:val="000431CD"/>
    <w:rsid w:val="00051169"/>
    <w:rsid w:val="00052814"/>
    <w:rsid w:val="00053B35"/>
    <w:rsid w:val="00062A4E"/>
    <w:rsid w:val="000671C0"/>
    <w:rsid w:val="00086F1B"/>
    <w:rsid w:val="000936E7"/>
    <w:rsid w:val="000967E3"/>
    <w:rsid w:val="000A33E4"/>
    <w:rsid w:val="000A34BD"/>
    <w:rsid w:val="000B487C"/>
    <w:rsid w:val="000C65D8"/>
    <w:rsid w:val="000C7B3E"/>
    <w:rsid w:val="000C7FE7"/>
    <w:rsid w:val="000D1DC4"/>
    <w:rsid w:val="000D3EC3"/>
    <w:rsid w:val="000E4B9B"/>
    <w:rsid w:val="000E6A57"/>
    <w:rsid w:val="000F0A66"/>
    <w:rsid w:val="000F6C6C"/>
    <w:rsid w:val="001015FE"/>
    <w:rsid w:val="00103295"/>
    <w:rsid w:val="001045B2"/>
    <w:rsid w:val="001135C7"/>
    <w:rsid w:val="00113EA0"/>
    <w:rsid w:val="00114E7F"/>
    <w:rsid w:val="00131E3F"/>
    <w:rsid w:val="001341E7"/>
    <w:rsid w:val="00142D14"/>
    <w:rsid w:val="00144507"/>
    <w:rsid w:val="0015263A"/>
    <w:rsid w:val="00156F74"/>
    <w:rsid w:val="00160515"/>
    <w:rsid w:val="001639FB"/>
    <w:rsid w:val="0016492A"/>
    <w:rsid w:val="00164AA8"/>
    <w:rsid w:val="00167019"/>
    <w:rsid w:val="00167596"/>
    <w:rsid w:val="001714A8"/>
    <w:rsid w:val="00172E14"/>
    <w:rsid w:val="001830B7"/>
    <w:rsid w:val="00186E06"/>
    <w:rsid w:val="00190B11"/>
    <w:rsid w:val="00193FCB"/>
    <w:rsid w:val="00194468"/>
    <w:rsid w:val="001B3D07"/>
    <w:rsid w:val="001C16E9"/>
    <w:rsid w:val="001D133D"/>
    <w:rsid w:val="001D1B0B"/>
    <w:rsid w:val="001D675C"/>
    <w:rsid w:val="001E055E"/>
    <w:rsid w:val="00207CD8"/>
    <w:rsid w:val="0022026E"/>
    <w:rsid w:val="00220BEA"/>
    <w:rsid w:val="00222D7D"/>
    <w:rsid w:val="00223879"/>
    <w:rsid w:val="002302B2"/>
    <w:rsid w:val="00237FBD"/>
    <w:rsid w:val="00250125"/>
    <w:rsid w:val="002516A5"/>
    <w:rsid w:val="002655C2"/>
    <w:rsid w:val="00275F76"/>
    <w:rsid w:val="002802DE"/>
    <w:rsid w:val="00282362"/>
    <w:rsid w:val="00285CA7"/>
    <w:rsid w:val="00286E97"/>
    <w:rsid w:val="002874D2"/>
    <w:rsid w:val="00290E63"/>
    <w:rsid w:val="00295DCB"/>
    <w:rsid w:val="002A0D66"/>
    <w:rsid w:val="002A68D5"/>
    <w:rsid w:val="002B115D"/>
    <w:rsid w:val="002B36A8"/>
    <w:rsid w:val="002B5799"/>
    <w:rsid w:val="002C2B9C"/>
    <w:rsid w:val="002C78E8"/>
    <w:rsid w:val="002D2DBB"/>
    <w:rsid w:val="002D3786"/>
    <w:rsid w:val="002E60E9"/>
    <w:rsid w:val="002E6C68"/>
    <w:rsid w:val="002F0A9B"/>
    <w:rsid w:val="002F2BCC"/>
    <w:rsid w:val="002F44A2"/>
    <w:rsid w:val="002F4D64"/>
    <w:rsid w:val="002F6DD9"/>
    <w:rsid w:val="003042FC"/>
    <w:rsid w:val="00314D8E"/>
    <w:rsid w:val="003159F8"/>
    <w:rsid w:val="003176CA"/>
    <w:rsid w:val="00320FBE"/>
    <w:rsid w:val="00326FC5"/>
    <w:rsid w:val="003352E1"/>
    <w:rsid w:val="003413FB"/>
    <w:rsid w:val="00345CB0"/>
    <w:rsid w:val="00345E2B"/>
    <w:rsid w:val="0035184B"/>
    <w:rsid w:val="00351F0D"/>
    <w:rsid w:val="0035664B"/>
    <w:rsid w:val="0035745F"/>
    <w:rsid w:val="00357BA8"/>
    <w:rsid w:val="00363EC7"/>
    <w:rsid w:val="003648A5"/>
    <w:rsid w:val="003A3E94"/>
    <w:rsid w:val="003B4528"/>
    <w:rsid w:val="003D39C6"/>
    <w:rsid w:val="003E19D5"/>
    <w:rsid w:val="003E6087"/>
    <w:rsid w:val="00424F90"/>
    <w:rsid w:val="00426933"/>
    <w:rsid w:val="004347FF"/>
    <w:rsid w:val="0044372F"/>
    <w:rsid w:val="00457474"/>
    <w:rsid w:val="0046382E"/>
    <w:rsid w:val="0047096D"/>
    <w:rsid w:val="00472A4F"/>
    <w:rsid w:val="00477511"/>
    <w:rsid w:val="00480A12"/>
    <w:rsid w:val="0049416E"/>
    <w:rsid w:val="00496FE9"/>
    <w:rsid w:val="0049782D"/>
    <w:rsid w:val="004A1E19"/>
    <w:rsid w:val="004A2766"/>
    <w:rsid w:val="004A60E2"/>
    <w:rsid w:val="004B1D5B"/>
    <w:rsid w:val="004B49CC"/>
    <w:rsid w:val="004B54D0"/>
    <w:rsid w:val="004C06B4"/>
    <w:rsid w:val="004C1C7F"/>
    <w:rsid w:val="004C38C8"/>
    <w:rsid w:val="004C68D7"/>
    <w:rsid w:val="004C6BE0"/>
    <w:rsid w:val="004D0137"/>
    <w:rsid w:val="004D1940"/>
    <w:rsid w:val="004D1E1F"/>
    <w:rsid w:val="004D31CF"/>
    <w:rsid w:val="004D4DDE"/>
    <w:rsid w:val="004D6998"/>
    <w:rsid w:val="004E45FF"/>
    <w:rsid w:val="004E64BC"/>
    <w:rsid w:val="005109FA"/>
    <w:rsid w:val="00532803"/>
    <w:rsid w:val="00533920"/>
    <w:rsid w:val="00534F80"/>
    <w:rsid w:val="0053612E"/>
    <w:rsid w:val="00554E41"/>
    <w:rsid w:val="00555486"/>
    <w:rsid w:val="00555B9B"/>
    <w:rsid w:val="00557133"/>
    <w:rsid w:val="00581EE9"/>
    <w:rsid w:val="00583F52"/>
    <w:rsid w:val="00584BF8"/>
    <w:rsid w:val="00591D46"/>
    <w:rsid w:val="00592D3A"/>
    <w:rsid w:val="00594D7B"/>
    <w:rsid w:val="005B0BE0"/>
    <w:rsid w:val="005B0CC0"/>
    <w:rsid w:val="005C05C8"/>
    <w:rsid w:val="005D17DD"/>
    <w:rsid w:val="005E17D5"/>
    <w:rsid w:val="005F2370"/>
    <w:rsid w:val="005F4B43"/>
    <w:rsid w:val="005F5268"/>
    <w:rsid w:val="006036D8"/>
    <w:rsid w:val="006043D3"/>
    <w:rsid w:val="00611588"/>
    <w:rsid w:val="006157A1"/>
    <w:rsid w:val="0061626E"/>
    <w:rsid w:val="00617E82"/>
    <w:rsid w:val="006263FA"/>
    <w:rsid w:val="0064036B"/>
    <w:rsid w:val="006414F6"/>
    <w:rsid w:val="00647E2E"/>
    <w:rsid w:val="00647E55"/>
    <w:rsid w:val="00660051"/>
    <w:rsid w:val="00662713"/>
    <w:rsid w:val="00663EE5"/>
    <w:rsid w:val="00677498"/>
    <w:rsid w:val="0069000A"/>
    <w:rsid w:val="006900D5"/>
    <w:rsid w:val="0069042D"/>
    <w:rsid w:val="006A2C9C"/>
    <w:rsid w:val="006A71A1"/>
    <w:rsid w:val="006B7716"/>
    <w:rsid w:val="006C2C84"/>
    <w:rsid w:val="006C6DEF"/>
    <w:rsid w:val="006E0132"/>
    <w:rsid w:val="006E2564"/>
    <w:rsid w:val="006E4A0A"/>
    <w:rsid w:val="006E67E5"/>
    <w:rsid w:val="006F7D28"/>
    <w:rsid w:val="00701E34"/>
    <w:rsid w:val="00705485"/>
    <w:rsid w:val="00711907"/>
    <w:rsid w:val="0074065D"/>
    <w:rsid w:val="0074099B"/>
    <w:rsid w:val="007455FE"/>
    <w:rsid w:val="00746FAE"/>
    <w:rsid w:val="007507FA"/>
    <w:rsid w:val="00753573"/>
    <w:rsid w:val="007826AC"/>
    <w:rsid w:val="007921D8"/>
    <w:rsid w:val="007B6467"/>
    <w:rsid w:val="007C75ED"/>
    <w:rsid w:val="007D0290"/>
    <w:rsid w:val="007D0898"/>
    <w:rsid w:val="007E2A0B"/>
    <w:rsid w:val="007E3720"/>
    <w:rsid w:val="007E45B1"/>
    <w:rsid w:val="007E69E9"/>
    <w:rsid w:val="007F3C1F"/>
    <w:rsid w:val="007F5799"/>
    <w:rsid w:val="008027CD"/>
    <w:rsid w:val="00802A14"/>
    <w:rsid w:val="00810114"/>
    <w:rsid w:val="008171C6"/>
    <w:rsid w:val="00821CF1"/>
    <w:rsid w:val="008318C8"/>
    <w:rsid w:val="00841136"/>
    <w:rsid w:val="0084278A"/>
    <w:rsid w:val="00851B8D"/>
    <w:rsid w:val="008671C3"/>
    <w:rsid w:val="008765F4"/>
    <w:rsid w:val="00877DAB"/>
    <w:rsid w:val="00887315"/>
    <w:rsid w:val="00895887"/>
    <w:rsid w:val="008A0B4F"/>
    <w:rsid w:val="008A5FE4"/>
    <w:rsid w:val="008B1586"/>
    <w:rsid w:val="008B3E8E"/>
    <w:rsid w:val="008C7D02"/>
    <w:rsid w:val="008D2B14"/>
    <w:rsid w:val="008D4466"/>
    <w:rsid w:val="008E388A"/>
    <w:rsid w:val="009007A9"/>
    <w:rsid w:val="0090289E"/>
    <w:rsid w:val="00910D19"/>
    <w:rsid w:val="009338B4"/>
    <w:rsid w:val="009366B0"/>
    <w:rsid w:val="0097388A"/>
    <w:rsid w:val="00975CEA"/>
    <w:rsid w:val="0097644C"/>
    <w:rsid w:val="009775A4"/>
    <w:rsid w:val="00992A54"/>
    <w:rsid w:val="009A0C51"/>
    <w:rsid w:val="009A2153"/>
    <w:rsid w:val="009C03CE"/>
    <w:rsid w:val="009C1A5B"/>
    <w:rsid w:val="009D0B70"/>
    <w:rsid w:val="009D5E4D"/>
    <w:rsid w:val="009E6BB0"/>
    <w:rsid w:val="009F14C2"/>
    <w:rsid w:val="009F58A0"/>
    <w:rsid w:val="009F6100"/>
    <w:rsid w:val="00A00564"/>
    <w:rsid w:val="00A14E48"/>
    <w:rsid w:val="00A40B8F"/>
    <w:rsid w:val="00A50EA4"/>
    <w:rsid w:val="00A6059E"/>
    <w:rsid w:val="00A728DF"/>
    <w:rsid w:val="00A74846"/>
    <w:rsid w:val="00A7671B"/>
    <w:rsid w:val="00A80A97"/>
    <w:rsid w:val="00A947F7"/>
    <w:rsid w:val="00A969D9"/>
    <w:rsid w:val="00AA275D"/>
    <w:rsid w:val="00AB239A"/>
    <w:rsid w:val="00AC14DC"/>
    <w:rsid w:val="00AC2281"/>
    <w:rsid w:val="00AC4050"/>
    <w:rsid w:val="00AD10B0"/>
    <w:rsid w:val="00AE0F9C"/>
    <w:rsid w:val="00AE3A06"/>
    <w:rsid w:val="00AF185E"/>
    <w:rsid w:val="00AF3932"/>
    <w:rsid w:val="00AF4791"/>
    <w:rsid w:val="00AF63F0"/>
    <w:rsid w:val="00AF7308"/>
    <w:rsid w:val="00B0787E"/>
    <w:rsid w:val="00B1015F"/>
    <w:rsid w:val="00B13565"/>
    <w:rsid w:val="00B150D4"/>
    <w:rsid w:val="00B16BC7"/>
    <w:rsid w:val="00B20100"/>
    <w:rsid w:val="00B23BD8"/>
    <w:rsid w:val="00B23E27"/>
    <w:rsid w:val="00B333B2"/>
    <w:rsid w:val="00B3458B"/>
    <w:rsid w:val="00B36B4F"/>
    <w:rsid w:val="00B413A5"/>
    <w:rsid w:val="00B44306"/>
    <w:rsid w:val="00B44797"/>
    <w:rsid w:val="00B4703B"/>
    <w:rsid w:val="00B53E61"/>
    <w:rsid w:val="00B5487B"/>
    <w:rsid w:val="00B65577"/>
    <w:rsid w:val="00B66C90"/>
    <w:rsid w:val="00B73CCA"/>
    <w:rsid w:val="00B85970"/>
    <w:rsid w:val="00B91BA8"/>
    <w:rsid w:val="00BA009F"/>
    <w:rsid w:val="00BB157B"/>
    <w:rsid w:val="00BE57EE"/>
    <w:rsid w:val="00BF2076"/>
    <w:rsid w:val="00BF2FD1"/>
    <w:rsid w:val="00BF62CB"/>
    <w:rsid w:val="00C040C4"/>
    <w:rsid w:val="00C05B20"/>
    <w:rsid w:val="00C070D5"/>
    <w:rsid w:val="00C11A8A"/>
    <w:rsid w:val="00C22A1E"/>
    <w:rsid w:val="00C23D39"/>
    <w:rsid w:val="00C3416C"/>
    <w:rsid w:val="00C349C6"/>
    <w:rsid w:val="00C34F48"/>
    <w:rsid w:val="00C44399"/>
    <w:rsid w:val="00C459FB"/>
    <w:rsid w:val="00C5547E"/>
    <w:rsid w:val="00C57952"/>
    <w:rsid w:val="00C71266"/>
    <w:rsid w:val="00C721CE"/>
    <w:rsid w:val="00C75BDC"/>
    <w:rsid w:val="00C903D9"/>
    <w:rsid w:val="00CA50B5"/>
    <w:rsid w:val="00CA6E2B"/>
    <w:rsid w:val="00CB6B89"/>
    <w:rsid w:val="00CC442F"/>
    <w:rsid w:val="00CD7883"/>
    <w:rsid w:val="00CE4159"/>
    <w:rsid w:val="00CE4C50"/>
    <w:rsid w:val="00CE5E78"/>
    <w:rsid w:val="00D14212"/>
    <w:rsid w:val="00D171E3"/>
    <w:rsid w:val="00D2169B"/>
    <w:rsid w:val="00D30BF8"/>
    <w:rsid w:val="00D43CCA"/>
    <w:rsid w:val="00D4601A"/>
    <w:rsid w:val="00D514D4"/>
    <w:rsid w:val="00D53DD5"/>
    <w:rsid w:val="00D80F79"/>
    <w:rsid w:val="00D87F4D"/>
    <w:rsid w:val="00D90271"/>
    <w:rsid w:val="00DA43DD"/>
    <w:rsid w:val="00DA4495"/>
    <w:rsid w:val="00DC3304"/>
    <w:rsid w:val="00DC41E5"/>
    <w:rsid w:val="00DC6FB1"/>
    <w:rsid w:val="00DE1C3F"/>
    <w:rsid w:val="00DE286F"/>
    <w:rsid w:val="00DE6D0D"/>
    <w:rsid w:val="00DE760F"/>
    <w:rsid w:val="00DF3E3B"/>
    <w:rsid w:val="00E06DE2"/>
    <w:rsid w:val="00E228E0"/>
    <w:rsid w:val="00E25307"/>
    <w:rsid w:val="00E25A91"/>
    <w:rsid w:val="00E25FBB"/>
    <w:rsid w:val="00E3606F"/>
    <w:rsid w:val="00E41F2C"/>
    <w:rsid w:val="00E43B28"/>
    <w:rsid w:val="00E47FDF"/>
    <w:rsid w:val="00E51BBE"/>
    <w:rsid w:val="00E52442"/>
    <w:rsid w:val="00E63743"/>
    <w:rsid w:val="00E7137B"/>
    <w:rsid w:val="00E7463E"/>
    <w:rsid w:val="00E77E9A"/>
    <w:rsid w:val="00E85529"/>
    <w:rsid w:val="00EA5030"/>
    <w:rsid w:val="00EA7C38"/>
    <w:rsid w:val="00EB5907"/>
    <w:rsid w:val="00EC4E12"/>
    <w:rsid w:val="00ED27F6"/>
    <w:rsid w:val="00ED60C3"/>
    <w:rsid w:val="00EE0438"/>
    <w:rsid w:val="00EE3C91"/>
    <w:rsid w:val="00EE5B49"/>
    <w:rsid w:val="00EF4FAD"/>
    <w:rsid w:val="00EF7BFD"/>
    <w:rsid w:val="00EF7D79"/>
    <w:rsid w:val="00F053E3"/>
    <w:rsid w:val="00F067D4"/>
    <w:rsid w:val="00F07C3A"/>
    <w:rsid w:val="00F12526"/>
    <w:rsid w:val="00F22029"/>
    <w:rsid w:val="00F259AD"/>
    <w:rsid w:val="00F27B6B"/>
    <w:rsid w:val="00F314A4"/>
    <w:rsid w:val="00F3595E"/>
    <w:rsid w:val="00F37116"/>
    <w:rsid w:val="00F445A1"/>
    <w:rsid w:val="00F456C8"/>
    <w:rsid w:val="00F46758"/>
    <w:rsid w:val="00F51ACC"/>
    <w:rsid w:val="00F5249A"/>
    <w:rsid w:val="00F52EDB"/>
    <w:rsid w:val="00F616EA"/>
    <w:rsid w:val="00F65B1E"/>
    <w:rsid w:val="00F8021C"/>
    <w:rsid w:val="00F86F2D"/>
    <w:rsid w:val="00F9505E"/>
    <w:rsid w:val="00FA1C83"/>
    <w:rsid w:val="00FA4F18"/>
    <w:rsid w:val="00FA5560"/>
    <w:rsid w:val="00FA6E43"/>
    <w:rsid w:val="00FA6F2F"/>
    <w:rsid w:val="00FC5D5E"/>
    <w:rsid w:val="00FD5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2A14"/>
    <w:rPr>
      <w:color w:val="000000"/>
      <w:w w:val="102"/>
      <w:sz w:val="28"/>
      <w:szCs w:val="31"/>
    </w:rPr>
  </w:style>
  <w:style w:type="paragraph" w:styleId="1">
    <w:name w:val="heading 1"/>
    <w:basedOn w:val="a"/>
    <w:next w:val="a"/>
    <w:qFormat/>
    <w:rsid w:val="00A80A97"/>
    <w:pPr>
      <w:keepNext/>
      <w:jc w:val="center"/>
      <w:outlineLvl w:val="0"/>
    </w:pPr>
    <w:rPr>
      <w:rFonts w:ascii="Arial" w:hAnsi="Arial" w:cs="Arial"/>
      <w:b/>
      <w:bCs/>
      <w:sz w:val="20"/>
    </w:rPr>
  </w:style>
  <w:style w:type="paragraph" w:styleId="2">
    <w:name w:val="heading 2"/>
    <w:basedOn w:val="a"/>
    <w:next w:val="a"/>
    <w:qFormat/>
    <w:rsid w:val="00A80A97"/>
    <w:pPr>
      <w:keepNext/>
      <w:ind w:left="-108"/>
      <w:outlineLvl w:val="1"/>
    </w:pPr>
    <w:rPr>
      <w:rFonts w:ascii="Arial" w:hAnsi="Arial" w:cs="Arial"/>
      <w:b/>
      <w:bCs/>
      <w:sz w:val="18"/>
    </w:rPr>
  </w:style>
  <w:style w:type="paragraph" w:styleId="3">
    <w:name w:val="heading 3"/>
    <w:basedOn w:val="a"/>
    <w:next w:val="a"/>
    <w:qFormat/>
    <w:rsid w:val="00A80A97"/>
    <w:pPr>
      <w:keepNext/>
      <w:outlineLvl w:val="2"/>
    </w:pPr>
    <w:rPr>
      <w:rFonts w:ascii="Arial" w:hAnsi="Arial" w:cs="Arial"/>
      <w:b/>
      <w:bCs/>
      <w:sz w:val="20"/>
    </w:rPr>
  </w:style>
  <w:style w:type="paragraph" w:styleId="4">
    <w:name w:val="heading 4"/>
    <w:basedOn w:val="a"/>
    <w:next w:val="a"/>
    <w:qFormat/>
    <w:rsid w:val="00A80A97"/>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0A97"/>
    <w:rPr>
      <w:color w:val="0000FF"/>
      <w:u w:val="single"/>
    </w:rPr>
  </w:style>
  <w:style w:type="paragraph" w:styleId="30">
    <w:name w:val="Body Text Indent 3"/>
    <w:basedOn w:val="a"/>
    <w:rsid w:val="00A80A97"/>
    <w:pPr>
      <w:overflowPunct w:val="0"/>
      <w:autoSpaceDE w:val="0"/>
      <w:autoSpaceDN w:val="0"/>
      <w:adjustRightInd w:val="0"/>
      <w:ind w:firstLine="708"/>
      <w:jc w:val="both"/>
      <w:textAlignment w:val="baseline"/>
    </w:pPr>
    <w:rPr>
      <w:color w:val="auto"/>
      <w:w w:val="100"/>
      <w:szCs w:val="20"/>
    </w:rPr>
  </w:style>
  <w:style w:type="paragraph" w:styleId="20">
    <w:name w:val="Body Text 2"/>
    <w:basedOn w:val="a"/>
    <w:rsid w:val="00A80A97"/>
    <w:pPr>
      <w:tabs>
        <w:tab w:val="num" w:pos="709"/>
      </w:tabs>
      <w:overflowPunct w:val="0"/>
      <w:autoSpaceDE w:val="0"/>
      <w:autoSpaceDN w:val="0"/>
      <w:adjustRightInd w:val="0"/>
      <w:jc w:val="both"/>
      <w:textAlignment w:val="baseline"/>
    </w:pPr>
    <w:rPr>
      <w:color w:val="auto"/>
      <w:w w:val="100"/>
      <w:szCs w:val="20"/>
    </w:rPr>
  </w:style>
  <w:style w:type="paragraph" w:styleId="a4">
    <w:name w:val="Body Text Indent"/>
    <w:basedOn w:val="a"/>
    <w:rsid w:val="00A80A97"/>
    <w:pPr>
      <w:overflowPunct w:val="0"/>
      <w:autoSpaceDE w:val="0"/>
      <w:autoSpaceDN w:val="0"/>
      <w:adjustRightInd w:val="0"/>
      <w:spacing w:line="360" w:lineRule="auto"/>
      <w:ind w:firstLine="709"/>
      <w:jc w:val="both"/>
    </w:pPr>
    <w:rPr>
      <w:szCs w:val="20"/>
    </w:rPr>
  </w:style>
  <w:style w:type="paragraph" w:styleId="21">
    <w:name w:val="Body Text Indent 2"/>
    <w:basedOn w:val="a"/>
    <w:rsid w:val="00A80A97"/>
    <w:pPr>
      <w:overflowPunct w:val="0"/>
      <w:autoSpaceDE w:val="0"/>
      <w:autoSpaceDN w:val="0"/>
      <w:adjustRightInd w:val="0"/>
      <w:spacing w:line="360" w:lineRule="auto"/>
      <w:ind w:firstLine="900"/>
      <w:jc w:val="both"/>
    </w:pPr>
  </w:style>
  <w:style w:type="paragraph" w:styleId="a5">
    <w:name w:val="Normal (Web)"/>
    <w:basedOn w:val="a"/>
    <w:rsid w:val="000F6C6C"/>
    <w:pPr>
      <w:spacing w:before="100" w:beforeAutospacing="1" w:after="100" w:afterAutospacing="1"/>
    </w:pPr>
    <w:rPr>
      <w:color w:val="auto"/>
      <w:w w:val="100"/>
      <w:sz w:val="24"/>
      <w:szCs w:val="24"/>
    </w:rPr>
  </w:style>
  <w:style w:type="character" w:styleId="a6">
    <w:name w:val="Strong"/>
    <w:basedOn w:val="a0"/>
    <w:qFormat/>
    <w:rsid w:val="000F6C6C"/>
    <w:rPr>
      <w:b/>
      <w:bCs/>
    </w:rPr>
  </w:style>
  <w:style w:type="table" w:styleId="a7">
    <w:name w:val="Table Grid"/>
    <w:basedOn w:val="a1"/>
    <w:rsid w:val="003A3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A3E94"/>
    <w:pPr>
      <w:widowControl w:val="0"/>
      <w:autoSpaceDE w:val="0"/>
      <w:autoSpaceDN w:val="0"/>
      <w:adjustRightInd w:val="0"/>
      <w:ind w:firstLine="720"/>
    </w:pPr>
    <w:rPr>
      <w:rFonts w:ascii="Arial" w:hAnsi="Arial" w:cs="Arial"/>
    </w:rPr>
  </w:style>
  <w:style w:type="paragraph" w:styleId="a8">
    <w:name w:val="Balloon Text"/>
    <w:basedOn w:val="a"/>
    <w:semiHidden/>
    <w:rsid w:val="005F5268"/>
    <w:rPr>
      <w:rFonts w:ascii="Tahoma" w:hAnsi="Tahoma" w:cs="Tahoma"/>
      <w:sz w:val="16"/>
      <w:szCs w:val="16"/>
    </w:rPr>
  </w:style>
  <w:style w:type="paragraph" w:styleId="a9">
    <w:name w:val="List Paragraph"/>
    <w:basedOn w:val="a"/>
    <w:uiPriority w:val="34"/>
    <w:qFormat/>
    <w:rsid w:val="004C68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069603">
      <w:bodyDiv w:val="1"/>
      <w:marLeft w:val="0"/>
      <w:marRight w:val="0"/>
      <w:marTop w:val="0"/>
      <w:marBottom w:val="0"/>
      <w:divBdr>
        <w:top w:val="none" w:sz="0" w:space="0" w:color="auto"/>
        <w:left w:val="none" w:sz="0" w:space="0" w:color="auto"/>
        <w:bottom w:val="none" w:sz="0" w:space="0" w:color="auto"/>
        <w:right w:val="none" w:sz="0" w:space="0" w:color="auto"/>
      </w:divBdr>
    </w:div>
    <w:div w:id="170559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4C886-AAC3-4E03-B526-E057F0D0D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1214</Words>
  <Characters>8935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Финансовое управление администрации городского округа Жигулевск Самарской области</vt:lpstr>
    </vt:vector>
  </TitlesOfParts>
  <Company/>
  <LinksUpToDate>false</LinksUpToDate>
  <CharactersWithSpaces>10129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Финансовое управление администрации городского округа Жигулевск Самарской области</dc:title>
  <dc:creator>ПухленкоЮВ</dc:creator>
  <cp:lastModifiedBy>Пухленко Юлия Викторовна</cp:lastModifiedBy>
  <cp:revision>22</cp:revision>
  <cp:lastPrinted>2023-02-02T12:55:00Z</cp:lastPrinted>
  <dcterms:created xsi:type="dcterms:W3CDTF">2019-07-02T09:18:00Z</dcterms:created>
  <dcterms:modified xsi:type="dcterms:W3CDTF">2023-02-02T12:56:00Z</dcterms:modified>
</cp:coreProperties>
</file>