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EA" w:rsidRDefault="00BA0EEA" w:rsidP="00BA0EEA">
      <w:pPr>
        <w:spacing w:line="288" w:lineRule="auto"/>
        <w:jc w:val="center"/>
        <w:rPr>
          <w:szCs w:val="28"/>
        </w:rPr>
      </w:pPr>
      <w:r>
        <w:rPr>
          <w:szCs w:val="28"/>
        </w:rPr>
        <w:t>Ревизия финансово-хозяйственной деятельности</w:t>
      </w:r>
    </w:p>
    <w:p w:rsidR="00BA0EEA" w:rsidRDefault="00BA0EEA" w:rsidP="00BA0EEA">
      <w:pPr>
        <w:autoSpaceDE w:val="0"/>
        <w:autoSpaceDN w:val="0"/>
        <w:adjustRightInd w:val="0"/>
        <w:spacing w:line="288" w:lineRule="auto"/>
        <w:jc w:val="center"/>
        <w:rPr>
          <w:szCs w:val="28"/>
        </w:rPr>
      </w:pPr>
      <w:r>
        <w:rPr>
          <w:szCs w:val="28"/>
        </w:rPr>
        <w:t>комитета по управлению муниципальным  имуществом администрации городского округа Жигулевск Самарской области.</w:t>
      </w:r>
    </w:p>
    <w:p w:rsidR="00BA0EEA" w:rsidRDefault="00BA0EEA" w:rsidP="00BA0EEA">
      <w:pPr>
        <w:autoSpaceDE w:val="0"/>
        <w:autoSpaceDN w:val="0"/>
        <w:adjustRightInd w:val="0"/>
        <w:spacing w:line="288" w:lineRule="auto"/>
        <w:jc w:val="both"/>
        <w:rPr>
          <w:szCs w:val="28"/>
        </w:rPr>
      </w:pPr>
    </w:p>
    <w:p w:rsidR="00BA0EEA" w:rsidRDefault="00BA0EEA" w:rsidP="00BA0EEA">
      <w:pPr>
        <w:autoSpaceDE w:val="0"/>
        <w:autoSpaceDN w:val="0"/>
        <w:adjustRightInd w:val="0"/>
        <w:spacing w:line="288" w:lineRule="auto"/>
        <w:ind w:firstLine="708"/>
        <w:jc w:val="both"/>
        <w:rPr>
          <w:szCs w:val="28"/>
        </w:rPr>
      </w:pPr>
      <w:r w:rsidRPr="00C93769">
        <w:rPr>
          <w:szCs w:val="28"/>
        </w:rPr>
        <w:t>В соответствии с планом контрольно-ревизионной работы финансового управления городского округа Жигулё</w:t>
      </w:r>
      <w:proofErr w:type="gramStart"/>
      <w:r w:rsidRPr="00C93769">
        <w:rPr>
          <w:szCs w:val="28"/>
        </w:rPr>
        <w:t>вск пр</w:t>
      </w:r>
      <w:proofErr w:type="gramEnd"/>
      <w:r w:rsidRPr="00C93769">
        <w:rPr>
          <w:szCs w:val="28"/>
        </w:rPr>
        <w:t>оведена ревизия финансово-хозяйственной деятельности</w:t>
      </w:r>
      <w:r>
        <w:rPr>
          <w:szCs w:val="28"/>
        </w:rPr>
        <w:t xml:space="preserve"> </w:t>
      </w:r>
      <w:r w:rsidRPr="00C475F9">
        <w:rPr>
          <w:szCs w:val="28"/>
        </w:rPr>
        <w:t>Комитет</w:t>
      </w:r>
      <w:r>
        <w:rPr>
          <w:szCs w:val="28"/>
        </w:rPr>
        <w:t>а</w:t>
      </w:r>
      <w:r w:rsidRPr="00C475F9">
        <w:rPr>
          <w:szCs w:val="28"/>
        </w:rPr>
        <w:t xml:space="preserve"> по управлению муниципальным  имуществом администрации городского округа Жигулевск</w:t>
      </w:r>
      <w:r>
        <w:rPr>
          <w:szCs w:val="28"/>
        </w:rPr>
        <w:t xml:space="preserve"> за период 2018-2020 годы.</w:t>
      </w:r>
    </w:p>
    <w:p w:rsidR="00BA0EEA" w:rsidRDefault="00BA0EEA" w:rsidP="00BA0EEA">
      <w:pPr>
        <w:autoSpaceDE w:val="0"/>
        <w:autoSpaceDN w:val="0"/>
        <w:adjustRightInd w:val="0"/>
        <w:spacing w:line="288" w:lineRule="auto"/>
        <w:ind w:firstLine="708"/>
        <w:jc w:val="both"/>
        <w:rPr>
          <w:szCs w:val="28"/>
        </w:rPr>
      </w:pPr>
      <w:r>
        <w:rPr>
          <w:szCs w:val="28"/>
        </w:rPr>
        <w:t xml:space="preserve">Ревизия </w:t>
      </w:r>
      <w:r w:rsidRPr="00CE3331">
        <w:rPr>
          <w:szCs w:val="28"/>
        </w:rPr>
        <w:t xml:space="preserve"> назначена в соответствии с приказом </w:t>
      </w:r>
      <w:r>
        <w:rPr>
          <w:szCs w:val="28"/>
        </w:rPr>
        <w:t xml:space="preserve">финансового управления городского округа Жигулёвск </w:t>
      </w:r>
      <w:r>
        <w:rPr>
          <w:color w:val="010101"/>
          <w:szCs w:val="28"/>
        </w:rPr>
        <w:t xml:space="preserve"> </w:t>
      </w:r>
      <w:r w:rsidRPr="00CE3331">
        <w:rPr>
          <w:szCs w:val="28"/>
        </w:rPr>
        <w:t>от</w:t>
      </w:r>
      <w:r>
        <w:rPr>
          <w:szCs w:val="28"/>
        </w:rPr>
        <w:t xml:space="preserve"> 13.10.2021г. № 47.</w:t>
      </w:r>
    </w:p>
    <w:p w:rsidR="00BA0EEA" w:rsidRDefault="00BA0EEA" w:rsidP="00BA0EEA">
      <w:pPr>
        <w:autoSpaceDE w:val="0"/>
        <w:autoSpaceDN w:val="0"/>
        <w:adjustRightInd w:val="0"/>
        <w:spacing w:line="288" w:lineRule="auto"/>
        <w:ind w:firstLine="708"/>
        <w:jc w:val="both"/>
        <w:rPr>
          <w:szCs w:val="28"/>
        </w:rPr>
      </w:pPr>
      <w:r w:rsidRPr="005A47F6">
        <w:rPr>
          <w:kern w:val="36"/>
          <w:szCs w:val="28"/>
        </w:rPr>
        <w:t>Акт ревизии финансово-хозяйственной деятельности</w:t>
      </w:r>
      <w:r>
        <w:rPr>
          <w:kern w:val="36"/>
          <w:szCs w:val="28"/>
        </w:rPr>
        <w:t xml:space="preserve"> от 29.12.2021г.</w:t>
      </w:r>
    </w:p>
    <w:p w:rsidR="00BA0EEA" w:rsidRPr="00096BFE" w:rsidRDefault="00BA0EEA" w:rsidP="00BA0EEA">
      <w:pPr>
        <w:spacing w:line="288" w:lineRule="auto"/>
        <w:ind w:firstLine="720"/>
        <w:jc w:val="both"/>
      </w:pPr>
      <w:r>
        <w:t>Проверяемый период: 2018</w:t>
      </w:r>
      <w:r w:rsidRPr="00387C12">
        <w:t xml:space="preserve"> </w:t>
      </w:r>
      <w:r>
        <w:t>- 2020</w:t>
      </w:r>
      <w:r w:rsidRPr="00096BFE">
        <w:t xml:space="preserve"> гг.</w:t>
      </w:r>
    </w:p>
    <w:p w:rsidR="00BA0EEA" w:rsidRDefault="00BA0EEA" w:rsidP="00BA0EEA">
      <w:pPr>
        <w:spacing w:line="288" w:lineRule="auto"/>
        <w:ind w:firstLine="709"/>
        <w:jc w:val="both"/>
        <w:rPr>
          <w:szCs w:val="28"/>
        </w:rPr>
      </w:pPr>
      <w:r w:rsidRPr="00387C12">
        <w:t>Срок проведения ревизии</w:t>
      </w:r>
      <w:r>
        <w:t>: с 18</w:t>
      </w:r>
      <w:r>
        <w:rPr>
          <w:szCs w:val="28"/>
        </w:rPr>
        <w:t>.10</w:t>
      </w:r>
      <w:r w:rsidRPr="00B60EEB">
        <w:rPr>
          <w:szCs w:val="28"/>
        </w:rPr>
        <w:t>.202</w:t>
      </w:r>
      <w:r>
        <w:rPr>
          <w:szCs w:val="28"/>
        </w:rPr>
        <w:t>1г.</w:t>
      </w:r>
      <w:r w:rsidRPr="00B60EEB">
        <w:rPr>
          <w:szCs w:val="28"/>
        </w:rPr>
        <w:t xml:space="preserve"> </w:t>
      </w:r>
      <w:r>
        <w:rPr>
          <w:szCs w:val="28"/>
        </w:rPr>
        <w:t>по 14.12</w:t>
      </w:r>
      <w:r w:rsidRPr="00B60EEB">
        <w:rPr>
          <w:szCs w:val="28"/>
        </w:rPr>
        <w:t>.202</w:t>
      </w:r>
      <w:r>
        <w:rPr>
          <w:szCs w:val="28"/>
        </w:rPr>
        <w:t>1г</w:t>
      </w:r>
      <w:r w:rsidRPr="00B60EEB">
        <w:rPr>
          <w:szCs w:val="28"/>
        </w:rPr>
        <w:t>.</w:t>
      </w:r>
    </w:p>
    <w:p w:rsidR="00BA0EEA" w:rsidRPr="00B60EEB" w:rsidRDefault="00BA0EEA" w:rsidP="00BA0EEA">
      <w:pPr>
        <w:spacing w:line="288" w:lineRule="auto"/>
        <w:ind w:firstLine="709"/>
        <w:jc w:val="both"/>
        <w:rPr>
          <w:szCs w:val="28"/>
        </w:rPr>
      </w:pPr>
    </w:p>
    <w:p w:rsidR="00BA0EEA" w:rsidRDefault="00BA0EEA" w:rsidP="00BA0EEA">
      <w:pPr>
        <w:autoSpaceDE w:val="0"/>
        <w:autoSpaceDN w:val="0"/>
        <w:adjustRightInd w:val="0"/>
        <w:spacing w:line="288" w:lineRule="auto"/>
        <w:ind w:firstLine="720"/>
        <w:jc w:val="both"/>
        <w:rPr>
          <w:szCs w:val="28"/>
        </w:rPr>
      </w:pPr>
      <w:r>
        <w:rPr>
          <w:szCs w:val="28"/>
        </w:rPr>
        <w:t>В</w:t>
      </w:r>
      <w:r w:rsidRPr="0064427D">
        <w:rPr>
          <w:szCs w:val="28"/>
        </w:rPr>
        <w:t xml:space="preserve"> результате ревизии выявлены следующие недостатки и нарушения:</w:t>
      </w:r>
    </w:p>
    <w:p w:rsidR="00BA0EEA" w:rsidRDefault="00BA0EEA" w:rsidP="00BA0EEA">
      <w:pPr>
        <w:autoSpaceDE w:val="0"/>
        <w:autoSpaceDN w:val="0"/>
        <w:adjustRightInd w:val="0"/>
        <w:spacing w:line="288" w:lineRule="auto"/>
        <w:jc w:val="both"/>
        <w:rPr>
          <w:szCs w:val="28"/>
        </w:rPr>
      </w:pPr>
    </w:p>
    <w:p w:rsidR="00BA0EEA" w:rsidRPr="00C475F9" w:rsidRDefault="00BA0EEA" w:rsidP="00BA0EEA">
      <w:pPr>
        <w:autoSpaceDE w:val="0"/>
        <w:autoSpaceDN w:val="0"/>
        <w:adjustRightInd w:val="0"/>
        <w:spacing w:line="288" w:lineRule="auto"/>
        <w:jc w:val="both"/>
        <w:rPr>
          <w:szCs w:val="28"/>
        </w:rPr>
      </w:pPr>
      <w:r w:rsidRPr="00C475F9">
        <w:rPr>
          <w:szCs w:val="28"/>
        </w:rPr>
        <w:t>- отмечены недостатки, недоработки по содержанию Учётной политики. Выявлены факты неисполнения требований Учётной политики при осуществлении бюджетного учёта;</w:t>
      </w:r>
    </w:p>
    <w:p w:rsidR="00BA0EEA" w:rsidRPr="00C475F9" w:rsidRDefault="00BA0EEA" w:rsidP="00BA0EEA">
      <w:pPr>
        <w:autoSpaceDE w:val="0"/>
        <w:autoSpaceDN w:val="0"/>
        <w:adjustRightInd w:val="0"/>
        <w:spacing w:line="288" w:lineRule="auto"/>
        <w:jc w:val="both"/>
        <w:rPr>
          <w:rFonts w:eastAsiaTheme="minorHAnsi"/>
          <w:szCs w:val="28"/>
          <w:lang w:eastAsia="en-US"/>
        </w:rPr>
      </w:pPr>
      <w:proofErr w:type="gramStart"/>
      <w:r w:rsidRPr="00C475F9">
        <w:rPr>
          <w:szCs w:val="28"/>
        </w:rPr>
        <w:t xml:space="preserve">- имеются нарушения при ведении главных книг (п.3 методических указаний Приказа Минфина России от 30.03.2015 N 52н, </w:t>
      </w:r>
      <w:hyperlink r:id="rId4" w:history="1">
        <w:r w:rsidRPr="00C475F9">
          <w:rPr>
            <w:rFonts w:eastAsiaTheme="minorHAnsi"/>
            <w:bCs/>
            <w:szCs w:val="28"/>
            <w:lang w:eastAsia="en-US"/>
          </w:rPr>
          <w:t>Письмо</w:t>
        </w:r>
      </w:hyperlink>
      <w:r w:rsidRPr="00C475F9">
        <w:rPr>
          <w:rFonts w:eastAsiaTheme="minorHAnsi"/>
          <w:bCs/>
          <w:szCs w:val="28"/>
          <w:lang w:eastAsia="en-US"/>
        </w:rPr>
        <w:t xml:space="preserve"> Минфина </w:t>
      </w:r>
      <w:r w:rsidRPr="00C475F9">
        <w:rPr>
          <w:szCs w:val="28"/>
        </w:rPr>
        <w:t>России</w:t>
      </w:r>
      <w:r w:rsidRPr="00C475F9">
        <w:rPr>
          <w:rFonts w:eastAsiaTheme="minorHAnsi"/>
          <w:bCs/>
          <w:szCs w:val="28"/>
          <w:lang w:eastAsia="en-US"/>
        </w:rPr>
        <w:t xml:space="preserve"> от 04.07.2017 N 02-06-10/42328, </w:t>
      </w:r>
      <w:r w:rsidRPr="00C475F9">
        <w:rPr>
          <w:rFonts w:eastAsiaTheme="minorHAnsi"/>
          <w:szCs w:val="28"/>
          <w:lang w:eastAsia="en-US"/>
        </w:rPr>
        <w:t xml:space="preserve">п.11 Приказа Минфина </w:t>
      </w:r>
      <w:r w:rsidRPr="00C475F9">
        <w:rPr>
          <w:szCs w:val="28"/>
        </w:rPr>
        <w:t>России</w:t>
      </w:r>
      <w:r w:rsidRPr="00C475F9">
        <w:rPr>
          <w:rFonts w:eastAsiaTheme="minorHAnsi"/>
          <w:szCs w:val="28"/>
          <w:lang w:eastAsia="en-US"/>
        </w:rPr>
        <w:t xml:space="preserve"> от 01.12.2010 N 157н)</w:t>
      </w:r>
      <w:r>
        <w:rPr>
          <w:rFonts w:eastAsiaTheme="minorHAnsi"/>
          <w:szCs w:val="28"/>
          <w:lang w:eastAsia="en-US"/>
        </w:rPr>
        <w:t>;</w:t>
      </w:r>
      <w:proofErr w:type="gramEnd"/>
    </w:p>
    <w:p w:rsidR="00BA0EEA" w:rsidRPr="00C475F9" w:rsidRDefault="00BA0EEA" w:rsidP="00BA0EEA">
      <w:pPr>
        <w:autoSpaceDE w:val="0"/>
        <w:autoSpaceDN w:val="0"/>
        <w:adjustRightInd w:val="0"/>
        <w:spacing w:line="288" w:lineRule="auto"/>
        <w:jc w:val="both"/>
        <w:rPr>
          <w:rFonts w:eastAsiaTheme="minorHAnsi"/>
          <w:szCs w:val="28"/>
          <w:lang w:eastAsia="en-US"/>
        </w:rPr>
      </w:pPr>
      <w:r w:rsidRPr="00C475F9">
        <w:rPr>
          <w:rFonts w:eastAsiaTheme="minorHAnsi"/>
          <w:szCs w:val="28"/>
          <w:lang w:eastAsia="en-US"/>
        </w:rPr>
        <w:t xml:space="preserve">- отмечены нарушения порядка утверждения и ведения бюджетных смет (нарушение </w:t>
      </w:r>
      <w:r w:rsidRPr="00C475F9">
        <w:rPr>
          <w:bCs/>
          <w:szCs w:val="28"/>
        </w:rPr>
        <w:t xml:space="preserve">п.17 Приказа МФ РФ от 14.02.2018 N 26н, </w:t>
      </w:r>
      <w:hyperlink r:id="rId5" w:history="1">
        <w:r w:rsidRPr="00C475F9">
          <w:rPr>
            <w:rFonts w:eastAsiaTheme="minorHAnsi"/>
            <w:szCs w:val="28"/>
            <w:lang w:eastAsia="en-US"/>
          </w:rPr>
          <w:t>ч. 2 ст. 15.15.7</w:t>
        </w:r>
      </w:hyperlink>
      <w:r w:rsidRPr="00C475F9">
        <w:rPr>
          <w:rFonts w:eastAsiaTheme="minorHAnsi"/>
          <w:szCs w:val="28"/>
          <w:lang w:eastAsia="en-US"/>
        </w:rPr>
        <w:t xml:space="preserve"> </w:t>
      </w:r>
      <w:proofErr w:type="spellStart"/>
      <w:r w:rsidRPr="00C475F9">
        <w:rPr>
          <w:rFonts w:eastAsiaTheme="minorHAnsi"/>
          <w:szCs w:val="28"/>
          <w:lang w:eastAsia="en-US"/>
        </w:rPr>
        <w:t>КоАП</w:t>
      </w:r>
      <w:proofErr w:type="spellEnd"/>
      <w:r w:rsidRPr="00C475F9">
        <w:rPr>
          <w:rFonts w:eastAsiaTheme="minorHAnsi"/>
          <w:szCs w:val="28"/>
          <w:lang w:eastAsia="en-US"/>
        </w:rPr>
        <w:t xml:space="preserve"> РФ);</w:t>
      </w:r>
    </w:p>
    <w:p w:rsidR="00BA0EEA" w:rsidRPr="00C475F9" w:rsidRDefault="00BA0EEA" w:rsidP="00BA0EEA">
      <w:pPr>
        <w:autoSpaceDE w:val="0"/>
        <w:autoSpaceDN w:val="0"/>
        <w:adjustRightInd w:val="0"/>
        <w:spacing w:line="288" w:lineRule="auto"/>
        <w:jc w:val="both"/>
        <w:rPr>
          <w:rFonts w:eastAsiaTheme="minorHAnsi"/>
          <w:szCs w:val="28"/>
          <w:lang w:eastAsia="en-US"/>
        </w:rPr>
      </w:pPr>
      <w:r w:rsidRPr="00C475F9">
        <w:rPr>
          <w:rFonts w:eastAsiaTheme="minorHAnsi"/>
          <w:szCs w:val="28"/>
          <w:lang w:eastAsia="en-US"/>
        </w:rPr>
        <w:t>- н</w:t>
      </w:r>
      <w:r w:rsidRPr="00C475F9">
        <w:rPr>
          <w:szCs w:val="28"/>
        </w:rPr>
        <w:t xml:space="preserve">ет единообразия при брошюровке </w:t>
      </w:r>
      <w:r w:rsidRPr="00C475F9">
        <w:rPr>
          <w:rFonts w:eastAsiaTheme="minorHAnsi"/>
          <w:szCs w:val="28"/>
          <w:lang w:eastAsia="en-US"/>
        </w:rPr>
        <w:t xml:space="preserve">первичных документов, подтверждающих законность отражения на счетах бухгалтерского учета </w:t>
      </w:r>
      <w:r w:rsidRPr="00C475F9">
        <w:rPr>
          <w:rFonts w:eastAsiaTheme="minorHAnsi"/>
          <w:bCs/>
          <w:szCs w:val="28"/>
          <w:lang w:eastAsia="en-US"/>
        </w:rPr>
        <w:t>совершаемых фактов хозяйственной жизни</w:t>
      </w:r>
      <w:r w:rsidRPr="00C475F9">
        <w:rPr>
          <w:rFonts w:eastAsiaTheme="minorHAnsi"/>
          <w:szCs w:val="28"/>
          <w:lang w:eastAsia="en-US"/>
        </w:rPr>
        <w:t>;</w:t>
      </w:r>
    </w:p>
    <w:p w:rsidR="00BA0EEA" w:rsidRPr="00C475F9" w:rsidRDefault="00BA0EEA" w:rsidP="00BA0EEA">
      <w:pPr>
        <w:autoSpaceDE w:val="0"/>
        <w:autoSpaceDN w:val="0"/>
        <w:adjustRightInd w:val="0"/>
        <w:spacing w:line="288" w:lineRule="auto"/>
        <w:jc w:val="both"/>
        <w:rPr>
          <w:rFonts w:eastAsiaTheme="minorHAnsi"/>
          <w:bCs/>
          <w:szCs w:val="28"/>
        </w:rPr>
      </w:pPr>
      <w:r w:rsidRPr="00C475F9">
        <w:rPr>
          <w:rFonts w:eastAsiaTheme="minorHAnsi"/>
          <w:bCs/>
          <w:szCs w:val="28"/>
        </w:rPr>
        <w:t xml:space="preserve">- имеются замечания по оформлению кассовых документов, авансовых отчетов, </w:t>
      </w:r>
      <w:r w:rsidRPr="00C475F9">
        <w:rPr>
          <w:szCs w:val="28"/>
        </w:rPr>
        <w:t xml:space="preserve">отсутствует </w:t>
      </w:r>
      <w:r w:rsidRPr="00C475F9">
        <w:rPr>
          <w:bCs/>
          <w:szCs w:val="28"/>
        </w:rPr>
        <w:t xml:space="preserve"> аналитический учет в разрезе каждого подотчетного лица</w:t>
      </w:r>
      <w:r w:rsidRPr="00C475F9">
        <w:rPr>
          <w:rFonts w:eastAsiaTheme="minorHAnsi"/>
          <w:bCs/>
          <w:szCs w:val="28"/>
        </w:rPr>
        <w:t xml:space="preserve"> (нарушение </w:t>
      </w:r>
      <w:r w:rsidRPr="00C475F9">
        <w:rPr>
          <w:rFonts w:eastAsiaTheme="minorHAnsi"/>
          <w:szCs w:val="28"/>
          <w:lang w:eastAsia="en-US"/>
        </w:rPr>
        <w:t xml:space="preserve">Приказа Минфина России от 30.03.2015 N 52н, </w:t>
      </w:r>
      <w:hyperlink r:id="rId6" w:history="1">
        <w:r w:rsidRPr="00C475F9">
          <w:rPr>
            <w:rFonts w:eastAsiaTheme="minorHAnsi"/>
            <w:szCs w:val="28"/>
            <w:lang w:eastAsia="en-US"/>
          </w:rPr>
          <w:t>п. 26</w:t>
        </w:r>
      </w:hyperlink>
      <w:r w:rsidRPr="00C475F9">
        <w:rPr>
          <w:rFonts w:eastAsiaTheme="minorHAnsi"/>
          <w:szCs w:val="28"/>
          <w:lang w:eastAsia="en-US"/>
        </w:rPr>
        <w:t xml:space="preserve"> Приказа Минфина РФ от 31.12.2016 N 256н)</w:t>
      </w:r>
      <w:r w:rsidRPr="00C475F9">
        <w:rPr>
          <w:rFonts w:eastAsiaTheme="minorHAnsi"/>
          <w:bCs/>
          <w:szCs w:val="28"/>
        </w:rPr>
        <w:t xml:space="preserve">. </w:t>
      </w:r>
    </w:p>
    <w:p w:rsidR="00BA0EEA" w:rsidRPr="00C475F9" w:rsidRDefault="00BA0EEA" w:rsidP="00BA0EEA">
      <w:pPr>
        <w:spacing w:line="288" w:lineRule="auto"/>
        <w:jc w:val="both"/>
        <w:rPr>
          <w:szCs w:val="28"/>
        </w:rPr>
      </w:pPr>
      <w:r w:rsidRPr="00C475F9">
        <w:rPr>
          <w:szCs w:val="28"/>
        </w:rPr>
        <w:t>- не ведется аналитический учёт почтовых марок,  маркированных конвертов  в составе «Денежных документов» (нарушение п.169 Приказа Минфина России от 01.12.2010 N 157н);</w:t>
      </w:r>
    </w:p>
    <w:p w:rsidR="00BA0EEA" w:rsidRPr="00C475F9" w:rsidRDefault="00BA0EEA" w:rsidP="00BA0EEA">
      <w:pPr>
        <w:autoSpaceDE w:val="0"/>
        <w:autoSpaceDN w:val="0"/>
        <w:adjustRightInd w:val="0"/>
        <w:spacing w:line="288" w:lineRule="auto"/>
        <w:jc w:val="both"/>
        <w:rPr>
          <w:szCs w:val="28"/>
        </w:rPr>
      </w:pPr>
      <w:r w:rsidRPr="00C475F9">
        <w:rPr>
          <w:szCs w:val="28"/>
        </w:rPr>
        <w:lastRenderedPageBreak/>
        <w:t xml:space="preserve"> - имеются факты несоответствия количества  и суммы  денежных документов, запрашиваемых материально-ответственными лицами по заявлению, сумме денежных документов  выданных по расходному кассовому ордеру (нарушение п.213  Приказа Минфина России от 01.12.2010 N 157н);</w:t>
      </w:r>
    </w:p>
    <w:p w:rsidR="00BA0EEA" w:rsidRPr="00C475F9" w:rsidRDefault="00BA0EEA" w:rsidP="00BA0EEA">
      <w:pPr>
        <w:autoSpaceDE w:val="0"/>
        <w:autoSpaceDN w:val="0"/>
        <w:adjustRightInd w:val="0"/>
        <w:spacing w:line="288" w:lineRule="auto"/>
        <w:jc w:val="both"/>
        <w:rPr>
          <w:szCs w:val="28"/>
        </w:rPr>
      </w:pPr>
      <w:r w:rsidRPr="00C475F9">
        <w:rPr>
          <w:szCs w:val="28"/>
        </w:rPr>
        <w:t xml:space="preserve">- имеется факт возмещения расходов подотчетному лицу в отсутствии подтверждающих документов </w:t>
      </w:r>
      <w:r>
        <w:rPr>
          <w:szCs w:val="28"/>
        </w:rPr>
        <w:t>в размере 2</w:t>
      </w:r>
      <w:r w:rsidRPr="00C475F9">
        <w:rPr>
          <w:szCs w:val="28"/>
        </w:rPr>
        <w:t xml:space="preserve">000,00 руб. (Указание Банка России от 11.03.2014 N 3210-У, </w:t>
      </w:r>
      <w:hyperlink r:id="rId7" w:history="1">
        <w:r w:rsidRPr="00C475F9">
          <w:rPr>
            <w:rFonts w:eastAsiaTheme="minorHAnsi"/>
            <w:szCs w:val="28"/>
            <w:lang w:eastAsia="en-US"/>
          </w:rPr>
          <w:t>Ч.2</w:t>
        </w:r>
      </w:hyperlink>
      <w:r w:rsidRPr="00C475F9">
        <w:rPr>
          <w:rFonts w:eastAsiaTheme="minorHAnsi"/>
          <w:szCs w:val="28"/>
          <w:lang w:eastAsia="en-US"/>
        </w:rPr>
        <w:t>-</w:t>
      </w:r>
      <w:hyperlink r:id="rId8" w:history="1">
        <w:r w:rsidRPr="00C475F9">
          <w:rPr>
            <w:rFonts w:eastAsiaTheme="minorHAnsi"/>
            <w:szCs w:val="28"/>
            <w:lang w:eastAsia="en-US"/>
          </w:rPr>
          <w:t>4 статьи 15.15.6</w:t>
        </w:r>
      </w:hyperlink>
      <w:r w:rsidRPr="00C475F9">
        <w:rPr>
          <w:rFonts w:eastAsiaTheme="minorHAnsi"/>
          <w:szCs w:val="28"/>
          <w:lang w:eastAsia="en-US"/>
        </w:rPr>
        <w:t xml:space="preserve"> </w:t>
      </w:r>
      <w:proofErr w:type="spellStart"/>
      <w:r w:rsidRPr="00C475F9">
        <w:rPr>
          <w:rFonts w:eastAsiaTheme="minorHAnsi"/>
          <w:szCs w:val="28"/>
          <w:lang w:eastAsia="en-US"/>
        </w:rPr>
        <w:t>КоАП</w:t>
      </w:r>
      <w:proofErr w:type="spellEnd"/>
      <w:r w:rsidRPr="00C475F9">
        <w:rPr>
          <w:rFonts w:eastAsiaTheme="minorHAnsi"/>
          <w:szCs w:val="28"/>
          <w:lang w:eastAsia="en-US"/>
        </w:rPr>
        <w:t xml:space="preserve"> РФ</w:t>
      </w:r>
      <w:r w:rsidRPr="00C475F9">
        <w:rPr>
          <w:szCs w:val="28"/>
        </w:rPr>
        <w:t>);</w:t>
      </w:r>
    </w:p>
    <w:p w:rsidR="00BA0EEA" w:rsidRPr="00C475F9" w:rsidRDefault="00BA0EEA" w:rsidP="00BA0EEA">
      <w:pPr>
        <w:spacing w:line="288" w:lineRule="auto"/>
        <w:jc w:val="both"/>
        <w:rPr>
          <w:szCs w:val="28"/>
        </w:rPr>
      </w:pPr>
      <w:r w:rsidRPr="00C475F9">
        <w:rPr>
          <w:szCs w:val="28"/>
        </w:rPr>
        <w:t xml:space="preserve">- имеются замечания к соблюдению порядка ведения учетных операций с безналичными денежными средствами (нарушение </w:t>
      </w:r>
      <w:r w:rsidRPr="00C475F9">
        <w:rPr>
          <w:rFonts w:eastAsiaTheme="minorHAnsi"/>
          <w:szCs w:val="28"/>
          <w:lang w:eastAsia="en-US"/>
        </w:rPr>
        <w:t>приказа Минфина России от 30.03.2015 № 52н)</w:t>
      </w:r>
      <w:r w:rsidRPr="00C475F9">
        <w:rPr>
          <w:szCs w:val="28"/>
        </w:rPr>
        <w:t>;</w:t>
      </w:r>
    </w:p>
    <w:p w:rsidR="00BA0EEA" w:rsidRPr="00C475F9" w:rsidRDefault="00BA0EEA" w:rsidP="00BA0EEA">
      <w:pPr>
        <w:spacing w:line="288" w:lineRule="auto"/>
        <w:jc w:val="both"/>
        <w:rPr>
          <w:szCs w:val="28"/>
        </w:rPr>
      </w:pPr>
      <w:r w:rsidRPr="00C475F9">
        <w:rPr>
          <w:szCs w:val="28"/>
        </w:rPr>
        <w:t xml:space="preserve">- имеются замечания к соблюдению порядка ведения учетных операций со </w:t>
      </w:r>
      <w:r w:rsidRPr="00C475F9">
        <w:rPr>
          <w:rFonts w:eastAsiaTheme="minorHAnsi"/>
          <w:szCs w:val="28"/>
          <w:lang w:eastAsia="en-US"/>
        </w:rPr>
        <w:t>средствами, полученными во временное распоряжение</w:t>
      </w:r>
      <w:r w:rsidRPr="00C475F9">
        <w:rPr>
          <w:szCs w:val="28"/>
        </w:rPr>
        <w:t xml:space="preserve"> </w:t>
      </w:r>
      <w:r w:rsidRPr="00C475F9">
        <w:rPr>
          <w:rFonts w:eastAsiaTheme="minorHAnsi"/>
          <w:szCs w:val="28"/>
          <w:lang w:eastAsia="en-US"/>
        </w:rPr>
        <w:t>(</w:t>
      </w:r>
      <w:r w:rsidRPr="00C475F9">
        <w:rPr>
          <w:rFonts w:eastAsiaTheme="minorHAnsi"/>
          <w:bCs/>
          <w:szCs w:val="28"/>
          <w:lang w:eastAsia="en-US"/>
        </w:rPr>
        <w:t xml:space="preserve">нарушение </w:t>
      </w:r>
      <w:hyperlink r:id="rId9" w:history="1">
        <w:r w:rsidRPr="00C475F9">
          <w:rPr>
            <w:rFonts w:eastAsiaTheme="minorHAnsi"/>
            <w:szCs w:val="28"/>
            <w:lang w:eastAsia="en-US"/>
          </w:rPr>
          <w:t>п. п. 21</w:t>
        </w:r>
      </w:hyperlink>
      <w:r w:rsidRPr="00C475F9">
        <w:rPr>
          <w:rFonts w:eastAsiaTheme="minorHAnsi"/>
          <w:szCs w:val="28"/>
          <w:lang w:eastAsia="en-US"/>
        </w:rPr>
        <w:t xml:space="preserve"> Инструкции N 157н, п.268, 269 </w:t>
      </w:r>
      <w:r w:rsidRPr="00C475F9">
        <w:rPr>
          <w:szCs w:val="28"/>
        </w:rPr>
        <w:t>Приказа Минфина России от 01.12.2010 N 157н</w:t>
      </w:r>
      <w:r w:rsidRPr="00C475F9">
        <w:rPr>
          <w:rFonts w:eastAsiaTheme="minorHAnsi"/>
          <w:szCs w:val="28"/>
          <w:lang w:eastAsia="en-US"/>
        </w:rPr>
        <w:t>);</w:t>
      </w:r>
    </w:p>
    <w:p w:rsidR="00BA0EEA" w:rsidRPr="00C475F9" w:rsidRDefault="00BA0EEA" w:rsidP="00BA0EEA">
      <w:pPr>
        <w:spacing w:line="288" w:lineRule="auto"/>
        <w:jc w:val="both"/>
        <w:rPr>
          <w:szCs w:val="28"/>
        </w:rPr>
      </w:pPr>
      <w:r w:rsidRPr="00C475F9">
        <w:rPr>
          <w:szCs w:val="28"/>
        </w:rPr>
        <w:t xml:space="preserve"> -  допускаются  нарушения при регистрации фактов хозяйственной жизни и принятии к бюджетному учету первичных учетных документов, </w:t>
      </w:r>
      <w:r>
        <w:rPr>
          <w:szCs w:val="28"/>
        </w:rPr>
        <w:t>выявлены</w:t>
      </w:r>
      <w:r w:rsidRPr="00C475F9">
        <w:rPr>
          <w:szCs w:val="28"/>
        </w:rPr>
        <w:t xml:space="preserve">  несоответствия записей в учетных регистрах  первичным учетным документам (нарушения  Федерального закона от 06.12.2011г. № 402-ФЗ, приказа </w:t>
      </w:r>
      <w:r w:rsidRPr="00C475F9">
        <w:rPr>
          <w:rFonts w:eastAsiaTheme="minorHAnsi"/>
          <w:bCs/>
          <w:szCs w:val="28"/>
          <w:lang w:eastAsia="en-US"/>
        </w:rPr>
        <w:t>Минфина</w:t>
      </w:r>
      <w:r w:rsidRPr="00C475F9">
        <w:rPr>
          <w:szCs w:val="28"/>
        </w:rPr>
        <w:t xml:space="preserve"> РФ от 01.12.2010 г. № 157н,  приказа Минфина России от 30.03.2015 N 52н и федеральных стандартов);</w:t>
      </w:r>
    </w:p>
    <w:p w:rsidR="00BA0EEA" w:rsidRPr="00C475F9" w:rsidRDefault="00BA0EEA" w:rsidP="00BA0EEA">
      <w:pPr>
        <w:spacing w:line="288" w:lineRule="auto"/>
        <w:jc w:val="both"/>
        <w:rPr>
          <w:szCs w:val="28"/>
        </w:rPr>
      </w:pPr>
      <w:r w:rsidRPr="00C475F9">
        <w:rPr>
          <w:szCs w:val="28"/>
        </w:rPr>
        <w:t xml:space="preserve">  </w:t>
      </w:r>
      <w:proofErr w:type="gramStart"/>
      <w:r w:rsidRPr="00C475F9">
        <w:rPr>
          <w:szCs w:val="28"/>
        </w:rPr>
        <w:t>- перед составлением годовой бухгалтерской отчетности не проводилась инвентаризация  денежных документов,  расчетов с покупателями, поставщиками и прочими дебиторами и кредиторами, имущества казны,  резервов предстоящих расходов и платежей (нарушение Федерального закона N 402-ФЗ, Федерального стандарта N 256н, Методических указаний, утвержденных приказом Минфина РФ от 13 июня 1995 г. N 49, Инструкции утвержденной приказом Минфина РФ от 28.12.2010 г. № 191н, приказа Минфина РФ</w:t>
      </w:r>
      <w:proofErr w:type="gramEnd"/>
      <w:r w:rsidRPr="00C475F9">
        <w:rPr>
          <w:szCs w:val="28"/>
        </w:rPr>
        <w:t xml:space="preserve"> от 30.03.2015 N 52н);</w:t>
      </w:r>
    </w:p>
    <w:p w:rsidR="00BA0EEA" w:rsidRPr="00C475F9" w:rsidRDefault="00BA0EEA" w:rsidP="00BA0EEA">
      <w:pPr>
        <w:autoSpaceDE w:val="0"/>
        <w:autoSpaceDN w:val="0"/>
        <w:adjustRightInd w:val="0"/>
        <w:spacing w:line="288" w:lineRule="auto"/>
        <w:jc w:val="both"/>
        <w:rPr>
          <w:rFonts w:eastAsiaTheme="minorHAnsi"/>
          <w:bCs/>
          <w:szCs w:val="28"/>
          <w:lang w:eastAsia="en-US"/>
        </w:rPr>
      </w:pPr>
      <w:r w:rsidRPr="00C475F9">
        <w:rPr>
          <w:szCs w:val="28"/>
        </w:rPr>
        <w:t xml:space="preserve">- при смене материально-ответственных лиц не издавались соответствующие приказы, не составлялись акты приема-передачи </w:t>
      </w:r>
      <w:r w:rsidRPr="00C475F9">
        <w:rPr>
          <w:rFonts w:eastAsiaTheme="minorHAnsi"/>
          <w:bCs/>
          <w:szCs w:val="28"/>
          <w:lang w:eastAsia="en-US"/>
        </w:rPr>
        <w:t>(</w:t>
      </w:r>
      <w:hyperlink r:id="rId10" w:history="1">
        <w:proofErr w:type="gramStart"/>
        <w:r w:rsidRPr="00C475F9">
          <w:rPr>
            <w:rFonts w:eastAsiaTheme="minorHAnsi"/>
            <w:bCs/>
            <w:szCs w:val="28"/>
            <w:lang w:eastAsia="en-US"/>
          </w:rPr>
          <w:t>ч</w:t>
        </w:r>
        <w:proofErr w:type="gramEnd"/>
        <w:r w:rsidRPr="00C475F9">
          <w:rPr>
            <w:rFonts w:eastAsiaTheme="minorHAnsi"/>
            <w:bCs/>
            <w:szCs w:val="28"/>
            <w:lang w:eastAsia="en-US"/>
          </w:rPr>
          <w:t>. 3 ст. 11</w:t>
        </w:r>
      </w:hyperlink>
      <w:r w:rsidRPr="00C475F9">
        <w:rPr>
          <w:rFonts w:eastAsiaTheme="minorHAnsi"/>
          <w:bCs/>
          <w:szCs w:val="28"/>
          <w:lang w:eastAsia="en-US"/>
        </w:rPr>
        <w:t xml:space="preserve"> Закона о бухгалтерском учете, </w:t>
      </w:r>
      <w:hyperlink r:id="rId11" w:history="1">
        <w:r w:rsidRPr="00C475F9">
          <w:rPr>
            <w:rFonts w:eastAsiaTheme="minorHAnsi"/>
            <w:bCs/>
            <w:szCs w:val="28"/>
            <w:lang w:eastAsia="en-US"/>
          </w:rPr>
          <w:t>п. 81</w:t>
        </w:r>
      </w:hyperlink>
      <w:r w:rsidRPr="00C475F9">
        <w:rPr>
          <w:rFonts w:eastAsiaTheme="minorHAnsi"/>
          <w:bCs/>
          <w:szCs w:val="28"/>
          <w:lang w:eastAsia="en-US"/>
        </w:rPr>
        <w:t xml:space="preserve"> СГС "Концептуальные основы", </w:t>
      </w:r>
      <w:hyperlink r:id="rId12" w:history="1">
        <w:r w:rsidRPr="00C475F9">
          <w:rPr>
            <w:rFonts w:eastAsiaTheme="minorHAnsi"/>
            <w:bCs/>
            <w:szCs w:val="28"/>
            <w:lang w:eastAsia="en-US"/>
          </w:rPr>
          <w:t>п. п. 1.5</w:t>
        </w:r>
      </w:hyperlink>
      <w:r w:rsidRPr="00C475F9">
        <w:rPr>
          <w:rFonts w:eastAsiaTheme="minorHAnsi"/>
          <w:bCs/>
          <w:szCs w:val="28"/>
          <w:lang w:eastAsia="en-US"/>
        </w:rPr>
        <w:t xml:space="preserve">, </w:t>
      </w:r>
      <w:hyperlink r:id="rId13" w:history="1">
        <w:r w:rsidRPr="00C475F9">
          <w:rPr>
            <w:rFonts w:eastAsiaTheme="minorHAnsi"/>
            <w:bCs/>
            <w:szCs w:val="28"/>
            <w:lang w:eastAsia="en-US"/>
          </w:rPr>
          <w:t>2.5</w:t>
        </w:r>
      </w:hyperlink>
      <w:r w:rsidRPr="00C475F9">
        <w:rPr>
          <w:rFonts w:eastAsiaTheme="minorHAnsi"/>
          <w:bCs/>
          <w:szCs w:val="28"/>
          <w:lang w:eastAsia="en-US"/>
        </w:rPr>
        <w:t xml:space="preserve"> Методических указаний по инвентаризации);</w:t>
      </w:r>
    </w:p>
    <w:p w:rsidR="00BA0EEA" w:rsidRPr="00C475F9" w:rsidRDefault="00BA0EEA" w:rsidP="00BA0EEA">
      <w:pPr>
        <w:shd w:val="clear" w:color="auto" w:fill="FFFFFF"/>
        <w:spacing w:line="288" w:lineRule="auto"/>
        <w:jc w:val="both"/>
        <w:rPr>
          <w:szCs w:val="28"/>
        </w:rPr>
      </w:pPr>
      <w:proofErr w:type="gramStart"/>
      <w:r w:rsidRPr="00C475F9">
        <w:rPr>
          <w:szCs w:val="28"/>
        </w:rPr>
        <w:t xml:space="preserve">- излишне  начислены и перечислены суммы страховых взносов по гражданско-правовому договору (страховые взносы в ФСС от несчастных случаев на производстве и   профзаболеваний (0,2%) - 2059,20 руб., и страхование на  случай </w:t>
      </w:r>
      <w:hyperlink r:id="rId14" w:history="1">
        <w:r w:rsidRPr="00C475F9">
          <w:rPr>
            <w:szCs w:val="28"/>
          </w:rPr>
          <w:t>материнства</w:t>
        </w:r>
      </w:hyperlink>
      <w:r w:rsidRPr="00C475F9">
        <w:rPr>
          <w:szCs w:val="28"/>
        </w:rPr>
        <w:t xml:space="preserve"> и </w:t>
      </w:r>
      <w:hyperlink r:id="rId15" w:history="1">
        <w:r w:rsidRPr="00C475F9">
          <w:rPr>
            <w:szCs w:val="28"/>
          </w:rPr>
          <w:t>нетрудоспособности</w:t>
        </w:r>
      </w:hyperlink>
      <w:r w:rsidRPr="00C475F9">
        <w:rPr>
          <w:szCs w:val="28"/>
        </w:rPr>
        <w:t xml:space="preserve"> (2,9%) - </w:t>
      </w:r>
      <w:r w:rsidRPr="00C475F9">
        <w:rPr>
          <w:szCs w:val="28"/>
        </w:rPr>
        <w:lastRenderedPageBreak/>
        <w:t>29858,40 руб.) в размере 31 917,60 руб.  (</w:t>
      </w:r>
      <w:hyperlink r:id="rId16" w:history="1">
        <w:r w:rsidRPr="00C475F9">
          <w:rPr>
            <w:rFonts w:eastAsiaTheme="minorHAnsi"/>
            <w:szCs w:val="28"/>
            <w:lang w:eastAsia="en-US"/>
          </w:rPr>
          <w:t>п. 1 ст. 5</w:t>
        </w:r>
      </w:hyperlink>
      <w:r w:rsidRPr="00C475F9">
        <w:rPr>
          <w:rFonts w:eastAsiaTheme="minorHAnsi"/>
          <w:szCs w:val="28"/>
          <w:lang w:eastAsia="en-US"/>
        </w:rPr>
        <w:t xml:space="preserve"> Федерального закона от 24.07.1998 N 125-ФЗ, </w:t>
      </w:r>
      <w:hyperlink r:id="rId17" w:history="1">
        <w:r w:rsidRPr="00C475F9">
          <w:rPr>
            <w:rFonts w:eastAsiaTheme="minorHAnsi"/>
            <w:szCs w:val="28"/>
            <w:lang w:eastAsia="en-US"/>
          </w:rPr>
          <w:t>п. 1 ч. 1 ст. 10</w:t>
        </w:r>
      </w:hyperlink>
      <w:r w:rsidRPr="00C475F9">
        <w:rPr>
          <w:rFonts w:eastAsiaTheme="minorHAnsi"/>
          <w:szCs w:val="28"/>
          <w:lang w:eastAsia="en-US"/>
        </w:rPr>
        <w:t xml:space="preserve"> Федерального закона от 29.11.2010 N</w:t>
      </w:r>
      <w:proofErr w:type="gramEnd"/>
      <w:r w:rsidRPr="00C475F9">
        <w:rPr>
          <w:rFonts w:eastAsiaTheme="minorHAnsi"/>
          <w:szCs w:val="28"/>
          <w:lang w:eastAsia="en-US"/>
        </w:rPr>
        <w:t xml:space="preserve"> </w:t>
      </w:r>
      <w:proofErr w:type="gramStart"/>
      <w:r w:rsidRPr="00C475F9">
        <w:rPr>
          <w:rFonts w:eastAsiaTheme="minorHAnsi"/>
          <w:szCs w:val="28"/>
          <w:lang w:eastAsia="en-US"/>
        </w:rPr>
        <w:t>326-ФЗ)</w:t>
      </w:r>
      <w:r w:rsidRPr="00C475F9">
        <w:rPr>
          <w:szCs w:val="28"/>
        </w:rPr>
        <w:t>;</w:t>
      </w:r>
      <w:proofErr w:type="gramEnd"/>
    </w:p>
    <w:p w:rsidR="00BA0EEA" w:rsidRPr="00C475F9" w:rsidRDefault="00BA0EEA" w:rsidP="00BA0EEA">
      <w:pPr>
        <w:autoSpaceDE w:val="0"/>
        <w:autoSpaceDN w:val="0"/>
        <w:adjustRightInd w:val="0"/>
        <w:spacing w:line="288" w:lineRule="auto"/>
        <w:jc w:val="both"/>
        <w:rPr>
          <w:szCs w:val="28"/>
        </w:rPr>
      </w:pPr>
      <w:r w:rsidRPr="00C475F9">
        <w:rPr>
          <w:szCs w:val="28"/>
        </w:rPr>
        <w:t>- имеется расхождение в размере 120841,01 руб.  между данными о кредиторской задолженности</w:t>
      </w:r>
      <w:r>
        <w:rPr>
          <w:szCs w:val="28"/>
        </w:rPr>
        <w:t>,</w:t>
      </w:r>
      <w:r w:rsidRPr="00C475F9">
        <w:rPr>
          <w:szCs w:val="28"/>
        </w:rPr>
        <w:t xml:space="preserve"> отраженными в балансе (ф. 0503130)  на 01.01.2019г.</w:t>
      </w:r>
      <w:r>
        <w:rPr>
          <w:szCs w:val="28"/>
        </w:rPr>
        <w:t>,</w:t>
      </w:r>
      <w:r w:rsidRPr="00C475F9">
        <w:rPr>
          <w:szCs w:val="28"/>
        </w:rPr>
        <w:t xml:space="preserve"> и фактически сложившейся задолженностью по представленным документам, что допускает  риск искажения бюджетной отчетности (</w:t>
      </w:r>
      <w:hyperlink r:id="rId18" w:history="1">
        <w:r w:rsidRPr="00C475F9">
          <w:rPr>
            <w:rFonts w:eastAsiaTheme="minorHAnsi"/>
            <w:szCs w:val="28"/>
            <w:lang w:eastAsia="en-US"/>
          </w:rPr>
          <w:t>Ч.2</w:t>
        </w:r>
      </w:hyperlink>
      <w:r w:rsidRPr="00C475F9">
        <w:rPr>
          <w:rFonts w:eastAsiaTheme="minorHAnsi"/>
          <w:szCs w:val="28"/>
          <w:lang w:eastAsia="en-US"/>
        </w:rPr>
        <w:t>-</w:t>
      </w:r>
      <w:hyperlink r:id="rId19" w:history="1">
        <w:r w:rsidRPr="00C475F9">
          <w:rPr>
            <w:rFonts w:eastAsiaTheme="minorHAnsi"/>
            <w:szCs w:val="28"/>
            <w:lang w:eastAsia="en-US"/>
          </w:rPr>
          <w:t>4 статьи 15.15.6</w:t>
        </w:r>
      </w:hyperlink>
      <w:r w:rsidRPr="00C475F9">
        <w:rPr>
          <w:rFonts w:eastAsiaTheme="minorHAnsi"/>
          <w:szCs w:val="28"/>
          <w:lang w:eastAsia="en-US"/>
        </w:rPr>
        <w:t xml:space="preserve"> </w:t>
      </w:r>
      <w:proofErr w:type="spellStart"/>
      <w:r w:rsidRPr="00C475F9">
        <w:rPr>
          <w:rFonts w:eastAsiaTheme="minorHAnsi"/>
          <w:szCs w:val="28"/>
          <w:lang w:eastAsia="en-US"/>
        </w:rPr>
        <w:t>КоАП</w:t>
      </w:r>
      <w:proofErr w:type="spellEnd"/>
      <w:r w:rsidRPr="00C475F9">
        <w:rPr>
          <w:rFonts w:eastAsiaTheme="minorHAnsi"/>
          <w:szCs w:val="28"/>
          <w:lang w:eastAsia="en-US"/>
        </w:rPr>
        <w:t xml:space="preserve"> РФ)</w:t>
      </w:r>
      <w:r w:rsidRPr="00C475F9">
        <w:rPr>
          <w:szCs w:val="28"/>
        </w:rPr>
        <w:t>;</w:t>
      </w:r>
    </w:p>
    <w:p w:rsidR="00BA0EEA" w:rsidRPr="00C475F9" w:rsidRDefault="00BA0EEA" w:rsidP="00BA0EEA">
      <w:pPr>
        <w:autoSpaceDE w:val="0"/>
        <w:autoSpaceDN w:val="0"/>
        <w:adjustRightInd w:val="0"/>
        <w:spacing w:line="288" w:lineRule="auto"/>
        <w:jc w:val="both"/>
        <w:rPr>
          <w:szCs w:val="28"/>
          <w:shd w:val="clear" w:color="auto" w:fill="FFFFFF"/>
        </w:rPr>
      </w:pPr>
      <w:r w:rsidRPr="00C475F9">
        <w:rPr>
          <w:rFonts w:eastAsiaTheme="minorHAnsi"/>
          <w:bCs/>
          <w:szCs w:val="28"/>
          <w:lang w:eastAsia="en-US"/>
        </w:rPr>
        <w:t>- имеются факты расхождения о</w:t>
      </w:r>
      <w:r w:rsidRPr="00C475F9">
        <w:rPr>
          <w:szCs w:val="28"/>
          <w:shd w:val="clear" w:color="auto" w:fill="FFFFFF"/>
        </w:rPr>
        <w:t xml:space="preserve">боротов, отраженных в журналах операций с данными главной книги, что </w:t>
      </w:r>
      <w:r w:rsidRPr="00C475F9">
        <w:rPr>
          <w:szCs w:val="28"/>
        </w:rPr>
        <w:t xml:space="preserve">предполагает риск искажения бюджетной отчетности (нарушение Приказа Минфина России от 30.03.2015 N 52н, </w:t>
      </w:r>
      <w:hyperlink r:id="rId20" w:history="1">
        <w:r w:rsidRPr="00C475F9">
          <w:rPr>
            <w:rFonts w:eastAsiaTheme="minorHAnsi"/>
            <w:szCs w:val="28"/>
            <w:lang w:eastAsia="en-US"/>
          </w:rPr>
          <w:t>ч. 2</w:t>
        </w:r>
      </w:hyperlink>
      <w:r w:rsidRPr="00C475F9">
        <w:rPr>
          <w:rFonts w:eastAsiaTheme="minorHAnsi"/>
          <w:szCs w:val="28"/>
          <w:lang w:eastAsia="en-US"/>
        </w:rPr>
        <w:t>-</w:t>
      </w:r>
      <w:hyperlink r:id="rId21" w:history="1">
        <w:r w:rsidRPr="00C475F9">
          <w:rPr>
            <w:rFonts w:eastAsiaTheme="minorHAnsi"/>
            <w:szCs w:val="28"/>
            <w:lang w:eastAsia="en-US"/>
          </w:rPr>
          <w:t>4 статьи 15.15.6</w:t>
        </w:r>
      </w:hyperlink>
      <w:r w:rsidRPr="00C475F9">
        <w:rPr>
          <w:rFonts w:eastAsiaTheme="minorHAnsi"/>
          <w:szCs w:val="28"/>
          <w:lang w:eastAsia="en-US"/>
        </w:rPr>
        <w:t xml:space="preserve"> </w:t>
      </w:r>
      <w:proofErr w:type="spellStart"/>
      <w:r w:rsidRPr="00C475F9">
        <w:rPr>
          <w:rFonts w:eastAsiaTheme="minorHAnsi"/>
          <w:szCs w:val="28"/>
          <w:lang w:eastAsia="en-US"/>
        </w:rPr>
        <w:t>КоАП</w:t>
      </w:r>
      <w:proofErr w:type="spellEnd"/>
      <w:r w:rsidRPr="00C475F9">
        <w:rPr>
          <w:rFonts w:eastAsiaTheme="minorHAnsi"/>
          <w:szCs w:val="28"/>
          <w:lang w:eastAsia="en-US"/>
        </w:rPr>
        <w:t xml:space="preserve"> РФ)</w:t>
      </w:r>
      <w:r w:rsidRPr="00C475F9">
        <w:rPr>
          <w:szCs w:val="28"/>
          <w:shd w:val="clear" w:color="auto" w:fill="FFFFFF"/>
        </w:rPr>
        <w:t>;</w:t>
      </w:r>
    </w:p>
    <w:p w:rsidR="00BA0EEA" w:rsidRPr="00C475F9" w:rsidRDefault="00BA0EEA" w:rsidP="00BA0EEA">
      <w:pPr>
        <w:autoSpaceDE w:val="0"/>
        <w:autoSpaceDN w:val="0"/>
        <w:adjustRightInd w:val="0"/>
        <w:spacing w:line="288" w:lineRule="auto"/>
        <w:jc w:val="both"/>
        <w:rPr>
          <w:szCs w:val="28"/>
        </w:rPr>
      </w:pPr>
      <w:r w:rsidRPr="00C475F9">
        <w:rPr>
          <w:szCs w:val="28"/>
          <w:shd w:val="clear" w:color="auto" w:fill="FFFFFF"/>
        </w:rPr>
        <w:t xml:space="preserve">- </w:t>
      </w:r>
      <w:r w:rsidRPr="00C475F9">
        <w:rPr>
          <w:szCs w:val="28"/>
        </w:rPr>
        <w:t>в отдельных случаях имеют место нарушения при оформлении первичных учетных документов: при ведении табеля учета использования рабочего времени,</w:t>
      </w:r>
      <w:r w:rsidRPr="00C475F9">
        <w:rPr>
          <w:color w:val="FF0000"/>
          <w:szCs w:val="28"/>
        </w:rPr>
        <w:t xml:space="preserve"> </w:t>
      </w:r>
      <w:r w:rsidRPr="00C475F9">
        <w:rPr>
          <w:szCs w:val="28"/>
        </w:rPr>
        <w:t>при оформлении записок-расчетов об исчислении среднего заработка при предоставлении отпуска, увольнении и других случаях, что влечет за собой неверное исчисление заработной платы, при оформлении расчетно-платежной ведомости, при заполнении личных карточек формы  Т-2</w:t>
      </w:r>
      <w:r>
        <w:rPr>
          <w:szCs w:val="28"/>
        </w:rPr>
        <w:t>, Т-2Г</w:t>
      </w:r>
      <w:proofErr w:type="gramStart"/>
      <w:r>
        <w:rPr>
          <w:szCs w:val="28"/>
        </w:rPr>
        <w:t>С(</w:t>
      </w:r>
      <w:proofErr w:type="gramEnd"/>
      <w:r>
        <w:rPr>
          <w:szCs w:val="28"/>
        </w:rPr>
        <w:t>МС)</w:t>
      </w:r>
      <w:r w:rsidRPr="00C475F9">
        <w:rPr>
          <w:szCs w:val="28"/>
        </w:rPr>
        <w:t xml:space="preserve"> не соблюдаются нормы приказа Минфина </w:t>
      </w:r>
      <w:r>
        <w:rPr>
          <w:szCs w:val="28"/>
        </w:rPr>
        <w:t>России от 30.03.2015 г. №</w:t>
      </w:r>
      <w:r w:rsidRPr="00C475F9">
        <w:rPr>
          <w:szCs w:val="28"/>
        </w:rPr>
        <w:t>52н., пункта 3.4 учетной политики, Постановления Госкомстата России от 05.01.2004 г. № 1;</w:t>
      </w:r>
    </w:p>
    <w:p w:rsidR="00BA0EEA" w:rsidRPr="00C475F9" w:rsidRDefault="00BA0EEA" w:rsidP="00BA0EEA">
      <w:pPr>
        <w:autoSpaceDE w:val="0"/>
        <w:autoSpaceDN w:val="0"/>
        <w:adjustRightInd w:val="0"/>
        <w:spacing w:line="288" w:lineRule="auto"/>
        <w:jc w:val="both"/>
        <w:rPr>
          <w:szCs w:val="28"/>
        </w:rPr>
      </w:pPr>
      <w:r w:rsidRPr="00C475F9">
        <w:rPr>
          <w:szCs w:val="28"/>
        </w:rPr>
        <w:t>- выявлены расхождения между регистрами бухгалтерского учета по оплате труда с данными синтетического и аналитического учета на сумму 30065,71руб.;</w:t>
      </w:r>
    </w:p>
    <w:p w:rsidR="00BA0EEA" w:rsidRDefault="00BA0EEA" w:rsidP="00BA0EEA">
      <w:pPr>
        <w:autoSpaceDE w:val="0"/>
        <w:autoSpaceDN w:val="0"/>
        <w:adjustRightInd w:val="0"/>
        <w:spacing w:line="288" w:lineRule="auto"/>
        <w:jc w:val="both"/>
        <w:rPr>
          <w:szCs w:val="28"/>
        </w:rPr>
      </w:pPr>
      <w:r w:rsidRPr="00C475F9">
        <w:rPr>
          <w:szCs w:val="28"/>
        </w:rPr>
        <w:t>- при начислении ежемесячной надбавки к должностному окладу за особые условия муниципальной службы отсутствуют соответствующие правовые акты, являющиеся, в соответствии с частью 4 статьи 8 Положения № 189, основанием для ее выплаты;</w:t>
      </w:r>
    </w:p>
    <w:p w:rsidR="00BA0EEA" w:rsidRPr="00C475F9" w:rsidRDefault="00BA0EEA" w:rsidP="00BA0EEA">
      <w:pPr>
        <w:autoSpaceDE w:val="0"/>
        <w:autoSpaceDN w:val="0"/>
        <w:adjustRightInd w:val="0"/>
        <w:spacing w:line="288" w:lineRule="auto"/>
        <w:jc w:val="both"/>
        <w:rPr>
          <w:szCs w:val="28"/>
        </w:rPr>
      </w:pPr>
      <w:r w:rsidRPr="00C475F9">
        <w:rPr>
          <w:szCs w:val="28"/>
        </w:rPr>
        <w:t xml:space="preserve">- при начислении ежемесячной надбавки к должностному окладу за </w:t>
      </w:r>
      <w:r>
        <w:rPr>
          <w:szCs w:val="28"/>
        </w:rPr>
        <w:t xml:space="preserve">сложность, напряженность и высокие показатели в труде немуниципальных служащих </w:t>
      </w:r>
      <w:r w:rsidRPr="00C475F9">
        <w:rPr>
          <w:szCs w:val="28"/>
        </w:rPr>
        <w:t xml:space="preserve">отсутствуют соответствующие правовые акты, являющиеся, в соответствии </w:t>
      </w:r>
      <w:r>
        <w:rPr>
          <w:szCs w:val="28"/>
        </w:rPr>
        <w:t xml:space="preserve">п.3.3.3. </w:t>
      </w:r>
      <w:r w:rsidRPr="00C475F9">
        <w:rPr>
          <w:szCs w:val="28"/>
        </w:rPr>
        <w:t xml:space="preserve"> Положения № </w:t>
      </w:r>
      <w:r>
        <w:rPr>
          <w:szCs w:val="28"/>
        </w:rPr>
        <w:t>334</w:t>
      </w:r>
      <w:r w:rsidRPr="00C475F9">
        <w:rPr>
          <w:szCs w:val="28"/>
        </w:rPr>
        <w:t>, основанием для ее выплаты;</w:t>
      </w:r>
    </w:p>
    <w:p w:rsidR="00BA0EEA" w:rsidRPr="00C475F9" w:rsidRDefault="00BA0EEA" w:rsidP="00BA0EEA">
      <w:pPr>
        <w:autoSpaceDE w:val="0"/>
        <w:autoSpaceDN w:val="0"/>
        <w:adjustRightInd w:val="0"/>
        <w:spacing w:line="288" w:lineRule="auto"/>
        <w:jc w:val="both"/>
        <w:rPr>
          <w:szCs w:val="28"/>
        </w:rPr>
      </w:pPr>
      <w:r w:rsidRPr="00C475F9">
        <w:rPr>
          <w:szCs w:val="28"/>
        </w:rPr>
        <w:t xml:space="preserve">- ежемесячное денежное поощрение в размере 10 % от должностного оклада муниципальных и немуниципальных служащих весь 2020 год осуществлялось при отсутствии соответствующего правового акта, устанавливающего указанное поощрение на текущий календарный год, </w:t>
      </w:r>
      <w:r w:rsidRPr="00C475F9">
        <w:rPr>
          <w:szCs w:val="28"/>
        </w:rPr>
        <w:lastRenderedPageBreak/>
        <w:t xml:space="preserve">единовременно в начале финансового года (нарушение  </w:t>
      </w:r>
      <w:proofErr w:type="gramStart"/>
      <w:r w:rsidRPr="00C475F9">
        <w:rPr>
          <w:szCs w:val="28"/>
        </w:rPr>
        <w:t>ч</w:t>
      </w:r>
      <w:proofErr w:type="gramEnd"/>
      <w:r w:rsidRPr="00C475F9">
        <w:rPr>
          <w:szCs w:val="28"/>
        </w:rPr>
        <w:t>. 2, ч. 5 ст. 12 Положения № 189, п.п. 3.1., 3.5.Положения № 334);</w:t>
      </w:r>
    </w:p>
    <w:p w:rsidR="00BA0EEA" w:rsidRPr="00C475F9" w:rsidRDefault="00BA0EEA" w:rsidP="00BA0EEA">
      <w:pPr>
        <w:spacing w:line="288" w:lineRule="auto"/>
        <w:jc w:val="both"/>
        <w:rPr>
          <w:szCs w:val="28"/>
        </w:rPr>
      </w:pPr>
      <w:r w:rsidRPr="00C475F9">
        <w:rPr>
          <w:szCs w:val="28"/>
        </w:rPr>
        <w:t>- списание основных средств и прием-передача имущества в отдельных случаях осуществлялась актами неустановленной формы (нарушение Приказа Минфина России от 30.03.2015г. N 52н и р.2 Приложения №9 Учетной политики);</w:t>
      </w:r>
    </w:p>
    <w:p w:rsidR="00BA0EEA" w:rsidRPr="00C475F9" w:rsidRDefault="00BA0EEA" w:rsidP="00BA0EEA">
      <w:pPr>
        <w:autoSpaceDE w:val="0"/>
        <w:autoSpaceDN w:val="0"/>
        <w:adjustRightInd w:val="0"/>
        <w:spacing w:line="288" w:lineRule="auto"/>
        <w:jc w:val="both"/>
        <w:rPr>
          <w:rFonts w:eastAsiaTheme="minorHAnsi"/>
          <w:szCs w:val="28"/>
          <w:lang w:eastAsia="en-US"/>
        </w:rPr>
      </w:pPr>
      <w:r w:rsidRPr="00C475F9">
        <w:rPr>
          <w:szCs w:val="28"/>
        </w:rPr>
        <w:t xml:space="preserve">- </w:t>
      </w:r>
      <w:r w:rsidRPr="00C475F9">
        <w:rPr>
          <w:rFonts w:eastAsiaTheme="minorHAnsi"/>
          <w:szCs w:val="28"/>
          <w:lang w:eastAsia="en-US"/>
        </w:rPr>
        <w:t>не ведется аналитический учет по объектам в составе имущества казны на основании информации из реестра (п.145 Приказа Минфина России от 01.12.2010 N 157н);</w:t>
      </w:r>
    </w:p>
    <w:p w:rsidR="00BA0EEA" w:rsidRPr="00C475F9" w:rsidRDefault="00BA0EEA" w:rsidP="00BA0EEA">
      <w:pPr>
        <w:autoSpaceDE w:val="0"/>
        <w:autoSpaceDN w:val="0"/>
        <w:adjustRightInd w:val="0"/>
        <w:spacing w:line="288" w:lineRule="auto"/>
        <w:jc w:val="both"/>
        <w:rPr>
          <w:szCs w:val="28"/>
        </w:rPr>
      </w:pPr>
      <w:r w:rsidRPr="00C475F9">
        <w:rPr>
          <w:rFonts w:eastAsiaTheme="minorHAnsi"/>
          <w:szCs w:val="28"/>
          <w:lang w:eastAsia="en-US"/>
        </w:rPr>
        <w:t xml:space="preserve">- </w:t>
      </w:r>
      <w:r w:rsidRPr="00C475F9">
        <w:rPr>
          <w:szCs w:val="28"/>
        </w:rPr>
        <w:t xml:space="preserve">имеются случаи передачи и включения  в перечень муниципального имущества объектов, не являющихся объектами основных средств, приёма-передачи имущества казны без необходимых документов, несоответствия при отражении первичных документов в журнале операций №7 (нарушение Приказа Минфина России от 30.03.2015 N 52н, п.15 б Приказа Минфина России от 31.12.2016 N 257н, </w:t>
      </w:r>
      <w:proofErr w:type="gramStart"/>
      <w:r w:rsidRPr="00C475F9">
        <w:rPr>
          <w:szCs w:val="28"/>
        </w:rPr>
        <w:t>п</w:t>
      </w:r>
      <w:proofErr w:type="gramEnd"/>
      <w:r w:rsidRPr="00C475F9">
        <w:rPr>
          <w:szCs w:val="28"/>
        </w:rPr>
        <w:t>,28 Приказа Минфина России от 31.12.2016 N 256н);</w:t>
      </w:r>
    </w:p>
    <w:p w:rsidR="00BA0EEA" w:rsidRPr="00C475F9" w:rsidRDefault="00BA0EEA" w:rsidP="00BA0EEA">
      <w:pPr>
        <w:autoSpaceDE w:val="0"/>
        <w:autoSpaceDN w:val="0"/>
        <w:adjustRightInd w:val="0"/>
        <w:spacing w:line="288" w:lineRule="auto"/>
        <w:jc w:val="both"/>
        <w:rPr>
          <w:szCs w:val="28"/>
        </w:rPr>
      </w:pPr>
      <w:r w:rsidRPr="00C475F9">
        <w:rPr>
          <w:szCs w:val="28"/>
        </w:rPr>
        <w:t>- имеются факты не отражения в журналах операций документов по исключению из состава муниципального имущества  и принятию в муниципальную собственность имущества согласно Постановлениям администрации городского округа Жигулевск (нарушение п.1 ст.10 Федерального закона от 06.12.2011 N 402-ФЗ, п.11 Инструкции 157н);</w:t>
      </w:r>
    </w:p>
    <w:p w:rsidR="00BA0EEA" w:rsidRPr="00C475F9" w:rsidRDefault="00BA0EEA" w:rsidP="00BA0EEA">
      <w:pPr>
        <w:autoSpaceDE w:val="0"/>
        <w:autoSpaceDN w:val="0"/>
        <w:adjustRightInd w:val="0"/>
        <w:spacing w:line="288" w:lineRule="auto"/>
        <w:jc w:val="both"/>
        <w:rPr>
          <w:szCs w:val="28"/>
        </w:rPr>
      </w:pPr>
      <w:r w:rsidRPr="00C475F9">
        <w:rPr>
          <w:szCs w:val="28"/>
        </w:rPr>
        <w:t xml:space="preserve">- при исключении долей муниципальных квартир из реестра муниципального имущества в бухгалтерском учете производилось списание сразу всей балансовой стоимости,  без учета долей,  что допускает  риск искажения бюджетной отчетности (нарушение п. 11.5 Р.2 Учетной политики, </w:t>
      </w:r>
      <w:hyperlink r:id="rId22" w:history="1">
        <w:r w:rsidRPr="00C475F9">
          <w:rPr>
            <w:rFonts w:eastAsiaTheme="minorHAnsi"/>
            <w:szCs w:val="28"/>
            <w:lang w:eastAsia="en-US"/>
          </w:rPr>
          <w:t>Ч.2</w:t>
        </w:r>
      </w:hyperlink>
      <w:r w:rsidRPr="00C475F9">
        <w:rPr>
          <w:rFonts w:eastAsiaTheme="minorHAnsi"/>
          <w:szCs w:val="28"/>
          <w:lang w:eastAsia="en-US"/>
        </w:rPr>
        <w:t>-</w:t>
      </w:r>
      <w:hyperlink r:id="rId23" w:history="1">
        <w:r w:rsidRPr="00C475F9">
          <w:rPr>
            <w:rFonts w:eastAsiaTheme="minorHAnsi"/>
            <w:szCs w:val="28"/>
            <w:lang w:eastAsia="en-US"/>
          </w:rPr>
          <w:t>4 статьи 15.15.6</w:t>
        </w:r>
      </w:hyperlink>
      <w:r w:rsidRPr="00C475F9">
        <w:rPr>
          <w:rFonts w:eastAsiaTheme="minorHAnsi"/>
          <w:szCs w:val="28"/>
          <w:lang w:eastAsia="en-US"/>
        </w:rPr>
        <w:t xml:space="preserve"> </w:t>
      </w:r>
      <w:proofErr w:type="spellStart"/>
      <w:r w:rsidRPr="00C475F9">
        <w:rPr>
          <w:rFonts w:eastAsiaTheme="minorHAnsi"/>
          <w:szCs w:val="28"/>
          <w:lang w:eastAsia="en-US"/>
        </w:rPr>
        <w:t>КоАП</w:t>
      </w:r>
      <w:proofErr w:type="spellEnd"/>
      <w:r w:rsidRPr="00C475F9">
        <w:rPr>
          <w:rFonts w:eastAsiaTheme="minorHAnsi"/>
          <w:szCs w:val="28"/>
          <w:lang w:eastAsia="en-US"/>
        </w:rPr>
        <w:t xml:space="preserve"> РФ</w:t>
      </w:r>
      <w:r w:rsidRPr="00C475F9">
        <w:rPr>
          <w:szCs w:val="28"/>
        </w:rPr>
        <w:t>);</w:t>
      </w:r>
    </w:p>
    <w:p w:rsidR="00BA0EEA" w:rsidRPr="00C475F9" w:rsidRDefault="00BA0EEA" w:rsidP="00BA0EEA">
      <w:pPr>
        <w:autoSpaceDE w:val="0"/>
        <w:autoSpaceDN w:val="0"/>
        <w:adjustRightInd w:val="0"/>
        <w:spacing w:line="288" w:lineRule="auto"/>
        <w:jc w:val="both"/>
        <w:rPr>
          <w:szCs w:val="28"/>
        </w:rPr>
      </w:pPr>
      <w:r w:rsidRPr="00C475F9">
        <w:rPr>
          <w:rFonts w:eastAsiaTheme="minorHAnsi"/>
          <w:szCs w:val="28"/>
          <w:lang w:eastAsia="en-US"/>
        </w:rPr>
        <w:t>-  имеются замечания по  в</w:t>
      </w:r>
      <w:r w:rsidRPr="00C475F9">
        <w:rPr>
          <w:szCs w:val="28"/>
        </w:rPr>
        <w:t xml:space="preserve">едению учета на </w:t>
      </w:r>
      <w:proofErr w:type="spellStart"/>
      <w:r w:rsidRPr="00C475F9">
        <w:rPr>
          <w:szCs w:val="28"/>
        </w:rPr>
        <w:t>забалансовых</w:t>
      </w:r>
      <w:proofErr w:type="spellEnd"/>
      <w:r w:rsidRPr="00C475F9">
        <w:rPr>
          <w:szCs w:val="28"/>
        </w:rPr>
        <w:t xml:space="preserve"> счетах (нарушение п.38 Приказа Минфина России от 06.12.2010 N 162н, Приказа Минфина России от 30.03.2015 N 52н);</w:t>
      </w:r>
    </w:p>
    <w:p w:rsidR="00BA0EEA" w:rsidRPr="00C475F9" w:rsidRDefault="00BA0EEA" w:rsidP="00BA0EEA">
      <w:pPr>
        <w:autoSpaceDE w:val="0"/>
        <w:autoSpaceDN w:val="0"/>
        <w:adjustRightInd w:val="0"/>
        <w:spacing w:line="288" w:lineRule="auto"/>
        <w:jc w:val="both"/>
        <w:rPr>
          <w:szCs w:val="28"/>
        </w:rPr>
      </w:pPr>
      <w:r w:rsidRPr="00C475F9">
        <w:rPr>
          <w:szCs w:val="28"/>
        </w:rPr>
        <w:t xml:space="preserve">- внутренний контроль </w:t>
      </w:r>
      <w:r w:rsidRPr="00C475F9">
        <w:rPr>
          <w:rFonts w:eastAsiaTheme="minorHAnsi"/>
          <w:bCs/>
          <w:szCs w:val="28"/>
          <w:lang w:eastAsia="en-US"/>
        </w:rPr>
        <w:t xml:space="preserve">совершаемых фактов хозяйственной жизни по законодательству о бухучете в учреждении </w:t>
      </w:r>
      <w:r w:rsidRPr="00C475F9">
        <w:rPr>
          <w:szCs w:val="28"/>
        </w:rPr>
        <w:t>осуществляется недостаточно эффективно.</w:t>
      </w:r>
    </w:p>
    <w:p w:rsidR="00E47608" w:rsidRDefault="00E47608" w:rsidP="00BA0EEA">
      <w:pPr>
        <w:spacing w:line="288" w:lineRule="auto"/>
      </w:pPr>
    </w:p>
    <w:sectPr w:rsidR="00E47608" w:rsidSect="00E47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EEA"/>
    <w:rsid w:val="00BA0EEA"/>
    <w:rsid w:val="00E4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E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w w:val="102"/>
      <w:sz w:val="28"/>
      <w:szCs w:val="3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7E3DEAA1F6F6E06179F9B803BC9E3CC1C27D8A6CCF6F730082A504473DE3F18D332DF12ECD5E181406EB2369C827191AA8639366F2V4U4K" TargetMode="External"/><Relationship Id="rId13" Type="http://schemas.openxmlformats.org/officeDocument/2006/relationships/hyperlink" Target="consultantplus://offline/ref=C51E862946D5F714ACECA810C3421497EBA2A531071E4BAB60F6DFF758823B4163735D9F60797E64822E83F305898EF4AD811B445F147A2BQEl7L" TargetMode="External"/><Relationship Id="rId18" Type="http://schemas.openxmlformats.org/officeDocument/2006/relationships/hyperlink" Target="consultantplus://offline/ref=587E3DEAA1F6F6E06179F9B803BC9E3CC1C27D8A6CCF6F730082A504473DE3F18D332DF12ECD5A181406EB2369C827191AA8639366F2V4U4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87E3DEAA1F6F6E06179F9B803BC9E3CC1C27D8A6CCF6F730082A504473DE3F18D332DF12ECD5E181406EB2369C827191AA8639366F2V4U4K" TargetMode="External"/><Relationship Id="rId7" Type="http://schemas.openxmlformats.org/officeDocument/2006/relationships/hyperlink" Target="consultantplus://offline/ref=587E3DEAA1F6F6E06179F9B803BC9E3CC1C27D8A6CCF6F730082A504473DE3F18D332DF12ECD5A181406EB2369C827191AA8639366F2V4U4K" TargetMode="External"/><Relationship Id="rId12" Type="http://schemas.openxmlformats.org/officeDocument/2006/relationships/hyperlink" Target="consultantplus://offline/ref=C51E862946D5F714ACECA810C3421497EBA2A531071E4BAB60F6DFF758823B4163735D9F60797E62812E83F305898EF4AD811B445F147A2BQEl7L" TargetMode="External"/><Relationship Id="rId17" Type="http://schemas.openxmlformats.org/officeDocument/2006/relationships/hyperlink" Target="consultantplus://offline/ref=2E8826E52F40C39549C3691BDFDFBDA6E5D079583513B6CE587BC7399E4988E5C92BF34787D3F2E40C900AE4F22D2DFFA87ECDlBW6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E8826E52F40C39549C3691BDFDFBDA6E5DF7E5A3814B6CE587BC7399E4988E5C92BF3458E86A8F408D95DE8EE2D33E0AA60CDB771lFW6G" TargetMode="External"/><Relationship Id="rId20" Type="http://schemas.openxmlformats.org/officeDocument/2006/relationships/hyperlink" Target="consultantplus://offline/ref=587E3DEAA1F6F6E06179F9B803BC9E3CC1C27D8A6CCF6F730082A504473DE3F18D332DF12ECD5A181406EB2369C827191AA8639366F2V4U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8AF47557E2892E024560D7E6231648AAD658F019BB31D01EA6F593A88FF8EFED5CBC127A2CB415763BD24E8777961EDEAB137EF963ED12e3gFM" TargetMode="External"/><Relationship Id="rId11" Type="http://schemas.openxmlformats.org/officeDocument/2006/relationships/hyperlink" Target="consultantplus://offline/ref=C51E862946D5F714ACECA810C3421497E9A4A03A061C4BAB60F6DFF758823B4163735D9F60797C61852E83F305898EF4AD811B445F147A2BQEl7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7D89547A77CE578B95C0029FD9724F4AEB537ECF24BD10AE027F76EF2FC8B542093DF1490DFA520ED20DE732C303238531BCD6566C71w2Y6L" TargetMode="External"/><Relationship Id="rId15" Type="http://schemas.openxmlformats.org/officeDocument/2006/relationships/hyperlink" Target="https://spmag.ru/articles/oplata-bolnichnogo-lista" TargetMode="External"/><Relationship Id="rId23" Type="http://schemas.openxmlformats.org/officeDocument/2006/relationships/hyperlink" Target="consultantplus://offline/ref=587E3DEAA1F6F6E06179F9B803BC9E3CC1C27D8A6CCF6F730082A504473DE3F18D332DF12ECD5E181406EB2369C827191AA8639366F2V4U4K" TargetMode="External"/><Relationship Id="rId10" Type="http://schemas.openxmlformats.org/officeDocument/2006/relationships/hyperlink" Target="consultantplus://offline/ref=C51E862946D5F714ACECA810C3421497E9A0A530001B4BAB60F6DFF758823B4163735D9F60797F61872E83F305898EF4AD811B445F147A2BQEl7L" TargetMode="External"/><Relationship Id="rId19" Type="http://schemas.openxmlformats.org/officeDocument/2006/relationships/hyperlink" Target="consultantplus://offline/ref=587E3DEAA1F6F6E06179F9B803BC9E3CC1C27D8A6CCF6F730082A504473DE3F18D332DF12ECD5E181406EB2369C827191AA8639366F2V4U4K" TargetMode="External"/><Relationship Id="rId4" Type="http://schemas.openxmlformats.org/officeDocument/2006/relationships/hyperlink" Target="consultantplus://offline/ref=1F9B4F45D61D46AC151B154806F436896A26A16A6E297DB3C4754A773A375D3E7D79B3CF9905B80F23D2EE6149JBN0K" TargetMode="External"/><Relationship Id="rId9" Type="http://schemas.openxmlformats.org/officeDocument/2006/relationships/hyperlink" Target="consultantplus://offline/ref=60A556E7EFCBECBC741D595237E130E8AF104A59E56FE193A5EBDD36EF5F1B1B8AF24282E1735E33026277FC00CEE95738355B7951u919K" TargetMode="External"/><Relationship Id="rId14" Type="http://schemas.openxmlformats.org/officeDocument/2006/relationships/hyperlink" Target="https://spmag.ru/articles/bolnichnyy-po-beremennosti-i-rodam-pri-vyhode-v-dekret" TargetMode="External"/><Relationship Id="rId22" Type="http://schemas.openxmlformats.org/officeDocument/2006/relationships/hyperlink" Target="consultantplus://offline/ref=587E3DEAA1F6F6E06179F9B803BC9E3CC1C27D8A6CCF6F730082A504473DE3F18D332DF12ECD5A181406EB2369C827191AA8639366F2V4U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1657</Words>
  <Characters>9447</Characters>
  <Application>Microsoft Office Word</Application>
  <DocSecurity>0</DocSecurity>
  <Lines>78</Lines>
  <Paragraphs>22</Paragraphs>
  <ScaleCrop>false</ScaleCrop>
  <Company/>
  <LinksUpToDate>false</LinksUpToDate>
  <CharactersWithSpaces>11082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ЮлдашеваОИ</dc:creator>
  <cp:lastModifiedBy>ЮлдашеваОИ</cp:lastModifiedBy>
  <cp:revision>1</cp:revision>
  <dcterms:created xsi:type="dcterms:W3CDTF">2022-01-19T09:16:00Z</dcterms:created>
  <dcterms:modified xsi:type="dcterms:W3CDTF">2022-01-19T09:26:00Z</dcterms:modified>
</cp:coreProperties>
</file>