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(наименование организации)</w:t>
            </w:r>
          </w:p>
        </w:tc>
      </w:tr>
    </w:tbl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» декабря 20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года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 привлечении к работе в выходные и праздничные дни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связи с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Привлечь к работе в выходной день – </w:t>
      </w:r>
      <w:r>
        <w:rPr>
          <w:rFonts w:hAnsi="Times New Roman" w:cs="Times New Roman"/>
          <w:color w:val="000000"/>
          <w:sz w:val="24"/>
          <w:szCs w:val="24"/>
        </w:rPr>
        <w:t>_____________</w:t>
      </w:r>
      <w:r>
        <w:rPr>
          <w:rFonts w:hAnsi="Times New Roman" w:cs="Times New Roman"/>
          <w:color w:val="000000"/>
          <w:sz w:val="24"/>
          <w:szCs w:val="24"/>
        </w:rPr>
        <w:t> года на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 xml:space="preserve">, с 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до 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, с перерывом на обед с 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до 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>_________________________</w:t>
      </w:r>
      <w:r>
        <w:rPr>
          <w:rFonts w:hAnsi="Times New Roman" w:cs="Times New Roman"/>
          <w:color w:val="000000"/>
          <w:sz w:val="24"/>
          <w:szCs w:val="24"/>
        </w:rPr>
        <w:t>с его письменного согласия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Установить оплату за отработанные 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 xml:space="preserve"> в выходной день в двойном размере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согласно </w:t>
      </w:r>
      <w:r>
        <w:rPr>
          <w:rFonts w:hAnsi="Times New Roman" w:cs="Times New Roman"/>
          <w:color w:val="000000"/>
          <w:sz w:val="24"/>
          <w:szCs w:val="24"/>
        </w:rPr>
        <w:t>статье 153</w:t>
      </w:r>
      <w:r>
        <w:rPr>
          <w:rFonts w:hAnsi="Times New Roman" w:cs="Times New Roman"/>
          <w:color w:val="000000"/>
          <w:sz w:val="24"/>
          <w:szCs w:val="24"/>
        </w:rPr>
        <w:t xml:space="preserve"> Трудового кодекса.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Бухгалтерии при начислении заработной платы руководствоваться настоящим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приказом.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Контроль исполнения приказа оставляю за собой.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(наименование должности)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(Ф. И. О.)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ознакомлены: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(наименование должности)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(Ф. И. О.)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(наименование должности)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(Ф. И. О.)</w:t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e40b7d6d9e7c448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